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65D31537"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476F8C">
        <w:t>North View Academy</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0BA939BB" w:rsidR="002940F3" w:rsidRDefault="00476F8C" w:rsidP="00C31636">
            <w:pPr>
              <w:pStyle w:val="TableRow"/>
              <w:ind w:left="0" w:right="0"/>
            </w:pPr>
            <w:r>
              <w:t>69</w:t>
            </w:r>
            <w:r w:rsidR="001B6BBF">
              <w:t xml:space="preserve"> (Dec 2025)</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014F9421" w:rsidR="002940F3" w:rsidRDefault="00476F8C" w:rsidP="00C31636">
            <w:pPr>
              <w:pStyle w:val="TableRow"/>
              <w:ind w:left="0" w:right="0"/>
            </w:pPr>
            <w:r>
              <w:t>46.4%</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56560" w14:textId="2EA94150" w:rsidR="002940F3" w:rsidRDefault="00476F8C" w:rsidP="00C31636">
            <w:pPr>
              <w:pStyle w:val="TableRow"/>
              <w:ind w:left="0" w:right="0"/>
            </w:pPr>
            <w:r>
              <w:t>2025 – 2026</w:t>
            </w:r>
          </w:p>
          <w:p w14:paraId="66302B2A" w14:textId="2E2CCA0B" w:rsidR="00476F8C" w:rsidRDefault="00476F8C" w:rsidP="00C31636">
            <w:pPr>
              <w:pStyle w:val="TableRow"/>
              <w:ind w:left="0" w:right="0"/>
            </w:pPr>
            <w:r>
              <w:t>2026 – 2027</w:t>
            </w:r>
          </w:p>
          <w:p w14:paraId="2A7D54BF" w14:textId="0E0DD04F" w:rsidR="00476F8C" w:rsidRDefault="00476F8C" w:rsidP="00C31636">
            <w:pPr>
              <w:pStyle w:val="TableRow"/>
              <w:ind w:left="0" w:right="0"/>
            </w:pPr>
            <w:r>
              <w:t xml:space="preserve">2027 – 2028 </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396F523F" w:rsidR="002940F3" w:rsidRDefault="00476F8C" w:rsidP="00C31636">
            <w:pPr>
              <w:pStyle w:val="TableRow"/>
              <w:ind w:left="0" w:right="0"/>
            </w:pPr>
            <w:r>
              <w:t>December 2025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3D8DE72C" w:rsidR="002940F3" w:rsidRDefault="00602C6F" w:rsidP="00C31636">
            <w:pPr>
              <w:pStyle w:val="TableRow"/>
              <w:ind w:left="0" w:right="0"/>
            </w:pPr>
            <w:r>
              <w:t>Termly</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30B649C7" w:rsidR="002940F3" w:rsidRDefault="00476F8C" w:rsidP="00C31636">
            <w:pPr>
              <w:pStyle w:val="TableRow"/>
              <w:ind w:left="0" w:right="0"/>
            </w:pPr>
            <w:r>
              <w:t>LGB</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0B2108AF" w:rsidR="002940F3" w:rsidRDefault="00476F8C" w:rsidP="00C31636">
            <w:pPr>
              <w:pStyle w:val="TableRow"/>
              <w:ind w:left="0" w:right="0"/>
            </w:pPr>
            <w:r>
              <w:t>Lisa Winship</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21CB1702" w:rsidR="002940F3" w:rsidRDefault="00476F8C" w:rsidP="00C31636">
            <w:pPr>
              <w:pStyle w:val="TableRow"/>
              <w:ind w:left="0" w:right="0"/>
            </w:pPr>
            <w:r>
              <w:t>Christine Collins</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0C5599C8" w:rsidR="00E66558" w:rsidRDefault="009D71E8" w:rsidP="00C31636">
            <w:pPr>
              <w:pStyle w:val="TableRow"/>
              <w:ind w:left="0" w:right="0"/>
            </w:pPr>
            <w:r>
              <w:t>£</w:t>
            </w:r>
            <w:r w:rsidR="00E06A4D">
              <w:t>70005</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61105A4F"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62B3EAA9" w:rsidR="00E66558" w:rsidRDefault="009D71E8" w:rsidP="00C31636">
            <w:pPr>
              <w:pStyle w:val="TableRow"/>
              <w:ind w:left="0" w:right="0"/>
            </w:pPr>
            <w:r>
              <w:t>£</w:t>
            </w:r>
            <w:r w:rsidR="00B86304">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3F3B4D46" w:rsidR="00E66558" w:rsidRPr="003C4388" w:rsidRDefault="00E66558" w:rsidP="00C31636">
            <w:pPr>
              <w:pStyle w:val="TableRow"/>
              <w:ind w:left="0" w:right="0"/>
              <w:rPr>
                <w:i/>
                <w:iCs/>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4A1379C1" w:rsidR="00E66558" w:rsidRDefault="009D71E8" w:rsidP="00C31636">
            <w:pPr>
              <w:pStyle w:val="TableRow"/>
              <w:ind w:left="0" w:right="0"/>
            </w:pPr>
            <w:r>
              <w:t>£</w:t>
            </w:r>
            <w:r w:rsidR="00E06A4D">
              <w:t>70005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EEADD" w14:textId="0D03DAF3" w:rsidR="00E06A4D" w:rsidRPr="00B40DE0" w:rsidRDefault="001C6C9F" w:rsidP="00E06A4D">
            <w:pPr>
              <w:pStyle w:val="NormalWeb"/>
              <w:rPr>
                <w:rFonts w:asciiTheme="minorBidi" w:hAnsiTheme="minorBidi" w:cstheme="minorBidi"/>
              </w:rPr>
            </w:pPr>
            <w:r>
              <w:rPr>
                <w:rFonts w:asciiTheme="minorBidi" w:hAnsiTheme="minorBidi" w:cstheme="minorBidi"/>
              </w:rPr>
              <w:t>North View Academy</w:t>
            </w:r>
            <w:r w:rsidR="00E06A4D" w:rsidRPr="00B40DE0">
              <w:rPr>
                <w:rFonts w:asciiTheme="minorBidi" w:hAnsiTheme="minorBidi" w:cstheme="minorBidi"/>
              </w:rPr>
              <w:t xml:space="preserve"> is a primary specialist provision for pupils with Social, Emotional and Mental Health (SEMH) needs and Autistic Spectrum Disorder (ASD). Many of our pupils face significant barriers to learning which include </w:t>
            </w:r>
            <w:r w:rsidR="0015254F">
              <w:rPr>
                <w:rFonts w:asciiTheme="minorBidi" w:hAnsiTheme="minorBidi" w:cstheme="minorBidi"/>
              </w:rPr>
              <w:t xml:space="preserve">social, </w:t>
            </w:r>
            <w:r w:rsidR="00E06A4D" w:rsidRPr="00B40DE0">
              <w:rPr>
                <w:rFonts w:asciiTheme="minorBidi" w:hAnsiTheme="minorBidi" w:cstheme="minorBidi"/>
              </w:rPr>
              <w:t xml:space="preserve">communication and interaction difficulties, emotional regulation needs, sensory differences, anxiety, disrupted early experiences, trauma and gaps in prior learning. All of our pupils have Education, Health and Care Plans (EHCPs) and a high number of children known to social care. 46.4% of our pupils are eligible for Pupil Premium funding. </w:t>
            </w:r>
          </w:p>
          <w:p w14:paraId="1A44F050" w14:textId="77777777" w:rsidR="00E06A4D" w:rsidRDefault="00E06A4D" w:rsidP="00E06A4D">
            <w:pPr>
              <w:pStyle w:val="NormalWeb"/>
              <w:rPr>
                <w:rFonts w:asciiTheme="minorBidi" w:hAnsiTheme="minorBidi" w:cstheme="minorBidi"/>
              </w:rPr>
            </w:pPr>
            <w:r w:rsidRPr="00B40DE0">
              <w:rPr>
                <w:rFonts w:asciiTheme="minorBidi" w:hAnsiTheme="minorBidi" w:cstheme="minorBidi"/>
              </w:rPr>
              <w:t>This statement outlines how Pupil Premium funding is used to raise attainment, improve social, emotional, communication and interaction outcomes, and support pupils to achieve the outcomes identified in their EHCPs.</w:t>
            </w:r>
          </w:p>
          <w:p w14:paraId="639385E8" w14:textId="6B36F881" w:rsidR="00D7405B" w:rsidRPr="001C6C9F" w:rsidRDefault="001C6C9F" w:rsidP="00D7405B">
            <w:pPr>
              <w:spacing w:before="120"/>
            </w:pPr>
            <w:r w:rsidRPr="001C6C9F">
              <w:t xml:space="preserve">At </w:t>
            </w:r>
            <w:r w:rsidR="00D7405B" w:rsidRPr="001C6C9F">
              <w:t>North View Academy</w:t>
            </w:r>
            <w:r w:rsidRPr="001C6C9F">
              <w:t xml:space="preserve"> we</w:t>
            </w:r>
            <w:r w:rsidR="00D7405B" w:rsidRPr="001C6C9F">
              <w:t xml:space="preserve"> focus on</w:t>
            </w:r>
            <w:r w:rsidR="0015254F" w:rsidRPr="001C6C9F">
              <w:t xml:space="preserve"> supporting pupils to achieve</w:t>
            </w:r>
            <w:r w:rsidR="00D7405B" w:rsidRPr="001C6C9F">
              <w:t xml:space="preserve"> high levels of engagement in learning so that all pupils attend, enjoy school and achieve in every aspect of school life. We also aim to ensure that all disadvantaged children have the same opportunities, experiences, and access to a high-quality education and that barriers are removed. </w:t>
            </w:r>
          </w:p>
          <w:p w14:paraId="4B58F1AC" w14:textId="7891AF32" w:rsidR="00D7405B" w:rsidRPr="001C6C9F" w:rsidRDefault="00D7405B" w:rsidP="00D7405B">
            <w:pPr>
              <w:spacing w:before="120"/>
            </w:pPr>
            <w:r w:rsidRPr="001C6C9F">
              <w:t>High-quality teaching and learning are at the heart of this policy and school approach, focusing on areas where disadvantaged children require the most support, grounded in the latest educational research and evidence-based practices. This approach has proven to be the most effective in narrowing the outcomes gap for disadvantaged children and improving overall school outcomes. We will regularly monitor and evaluate the impact of our approaches, adapting strategies to sustain and improve the outcomes of all pupils. The approaches we use carefully assess and respond to the individual needs of children at North View Academy, ensuring that support is personalised and effective. The key principles of this policy are:</w:t>
            </w:r>
          </w:p>
          <w:p w14:paraId="2E3C3A83" w14:textId="728CD59F" w:rsidR="00D7405B" w:rsidRPr="001C6C9F" w:rsidRDefault="00D7405B" w:rsidP="00D7405B">
            <w:pPr>
              <w:spacing w:before="120"/>
            </w:pPr>
            <w:r w:rsidRPr="001C6C9F">
              <w:t>• To ensure that all disadvantaged children at North View reach their potential</w:t>
            </w:r>
          </w:p>
          <w:p w14:paraId="50E036CC" w14:textId="2C2DAE48" w:rsidR="00D7405B" w:rsidRPr="001C6C9F" w:rsidRDefault="00D7405B" w:rsidP="00D7405B">
            <w:pPr>
              <w:spacing w:before="120"/>
            </w:pPr>
            <w:r w:rsidRPr="001C6C9F">
              <w:t xml:space="preserve">• To </w:t>
            </w:r>
            <w:r w:rsidR="00A8564E" w:rsidRPr="001C6C9F">
              <w:t>promote high levels of engagement in learning</w:t>
            </w:r>
          </w:p>
          <w:p w14:paraId="0412DE62" w14:textId="4BA2716C" w:rsidR="00D7405B" w:rsidRPr="001C6C9F" w:rsidRDefault="00D7405B" w:rsidP="00D7405B">
            <w:pPr>
              <w:spacing w:before="120"/>
            </w:pPr>
            <w:r w:rsidRPr="001C6C9F">
              <w:t>• To develop the life chances of all disadvantaged children</w:t>
            </w:r>
          </w:p>
          <w:p w14:paraId="62EA0089" w14:textId="77777777" w:rsidR="00D7405B" w:rsidRPr="001C6C9F" w:rsidRDefault="00D7405B" w:rsidP="00D7405B">
            <w:pPr>
              <w:spacing w:before="120"/>
            </w:pPr>
            <w:r w:rsidRPr="001C6C9F">
              <w:t>• To enrich the lives of disadvantaged children by developing their cultural capital and</w:t>
            </w:r>
          </w:p>
          <w:p w14:paraId="2A7D54E9" w14:textId="1FE185BD" w:rsidR="00E66558" w:rsidRPr="001C6C9F" w:rsidRDefault="00D7405B" w:rsidP="001C6C9F">
            <w:pPr>
              <w:spacing w:before="120"/>
              <w:ind w:left="311" w:hanging="142"/>
            </w:pPr>
            <w:r w:rsidRPr="001C6C9F">
              <w:t>wider curriculum experiences</w:t>
            </w:r>
            <w:r w:rsidR="001C6C9F">
              <w:t>.</w:t>
            </w: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rsidRPr="001C6C9F"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1394190B" w:rsidR="00E66558" w:rsidRPr="001C6C9F" w:rsidRDefault="00EF6FF4" w:rsidP="00C31636">
            <w:pPr>
              <w:pStyle w:val="TableRow"/>
              <w:ind w:left="0" w:right="0"/>
              <w:rPr>
                <w:rFonts w:asciiTheme="minorBidi" w:hAnsiTheme="minorBidi" w:cstheme="minorBidi"/>
                <w:sz w:val="22"/>
                <w:szCs w:val="22"/>
              </w:rPr>
            </w:pPr>
            <w:r w:rsidRPr="001C6C9F">
              <w:rPr>
                <w:rFonts w:asciiTheme="minorBidi" w:hAnsiTheme="minorBidi" w:cstheme="minorBidi"/>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337F64EB" w:rsidR="00E66558" w:rsidRPr="001C6C9F" w:rsidRDefault="00A8564E" w:rsidP="005E40F6">
            <w:pPr>
              <w:pBdr>
                <w:top w:val="nil"/>
                <w:left w:val="nil"/>
                <w:bottom w:val="nil"/>
                <w:right w:val="nil"/>
                <w:between w:val="nil"/>
              </w:pBdr>
              <w:spacing w:before="60" w:after="60" w:line="240" w:lineRule="auto"/>
              <w:ind w:left="57" w:right="57"/>
              <w:rPr>
                <w:rFonts w:asciiTheme="minorBidi" w:eastAsia="Calibri" w:hAnsiTheme="minorBidi" w:cstheme="minorBidi"/>
                <w:sz w:val="22"/>
                <w:szCs w:val="22"/>
              </w:rPr>
            </w:pPr>
            <w:r w:rsidRPr="001C6C9F">
              <w:rPr>
                <w:rFonts w:asciiTheme="minorBidi" w:eastAsia="Calibri" w:hAnsiTheme="minorBidi" w:cstheme="minorBidi"/>
                <w:sz w:val="22"/>
                <w:szCs w:val="22"/>
              </w:rPr>
              <w:t xml:space="preserve">Pupils </w:t>
            </w:r>
            <w:r w:rsidR="00D75624" w:rsidRPr="001C6C9F">
              <w:rPr>
                <w:rFonts w:asciiTheme="minorBidi" w:eastAsia="Calibri" w:hAnsiTheme="minorBidi" w:cstheme="minorBidi"/>
                <w:sz w:val="22"/>
                <w:szCs w:val="22"/>
              </w:rPr>
              <w:t>come to North View Academy having struggled to thrive in the mainstream setting and often have a negative outlook on education and engagement in their learning. For some pupils this also includes</w:t>
            </w:r>
            <w:r w:rsidRPr="001C6C9F">
              <w:rPr>
                <w:rFonts w:asciiTheme="minorBidi" w:eastAsia="Calibri" w:hAnsiTheme="minorBidi" w:cstheme="minorBidi"/>
                <w:sz w:val="22"/>
                <w:szCs w:val="22"/>
              </w:rPr>
              <w:t xml:space="preserve"> period</w:t>
            </w:r>
            <w:r w:rsidR="00D75624" w:rsidRPr="001C6C9F">
              <w:rPr>
                <w:rFonts w:asciiTheme="minorBidi" w:eastAsia="Calibri" w:hAnsiTheme="minorBidi" w:cstheme="minorBidi"/>
                <w:sz w:val="22"/>
                <w:szCs w:val="22"/>
              </w:rPr>
              <w:t>s</w:t>
            </w:r>
            <w:r w:rsidRPr="001C6C9F">
              <w:rPr>
                <w:rFonts w:asciiTheme="minorBidi" w:eastAsia="Calibri" w:hAnsiTheme="minorBidi" w:cstheme="minorBidi"/>
                <w:sz w:val="22"/>
                <w:szCs w:val="22"/>
              </w:rPr>
              <w:t xml:space="preserve"> of non-school attendance</w:t>
            </w:r>
            <w:r w:rsidR="00D75624" w:rsidRPr="001C6C9F">
              <w:rPr>
                <w:rFonts w:asciiTheme="minorBidi" w:eastAsia="Calibri" w:hAnsiTheme="minorBidi" w:cstheme="minorBidi"/>
                <w:sz w:val="22"/>
                <w:szCs w:val="22"/>
              </w:rPr>
              <w:t xml:space="preserve"> / disrupted attendance</w:t>
            </w:r>
            <w:r w:rsidRPr="001C6C9F">
              <w:rPr>
                <w:rFonts w:asciiTheme="minorBidi" w:eastAsia="Calibri" w:hAnsiTheme="minorBidi" w:cstheme="minorBidi"/>
                <w:sz w:val="22"/>
                <w:szCs w:val="22"/>
              </w:rPr>
              <w:t xml:space="preserve"> prior to starting North View Academy.  </w:t>
            </w:r>
          </w:p>
        </w:tc>
      </w:tr>
      <w:tr w:rsidR="00E66558" w:rsidRPr="001C6C9F"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6F9AEEDB" w:rsidR="00E66558" w:rsidRPr="001C6C9F" w:rsidRDefault="00EF6FF4" w:rsidP="00C31636">
            <w:pPr>
              <w:pStyle w:val="TableRow"/>
              <w:ind w:left="0" w:right="0"/>
              <w:rPr>
                <w:rFonts w:asciiTheme="minorBidi" w:hAnsiTheme="minorBidi" w:cstheme="minorBidi"/>
                <w:sz w:val="22"/>
                <w:szCs w:val="22"/>
              </w:rPr>
            </w:pPr>
            <w:r w:rsidRPr="001C6C9F">
              <w:rPr>
                <w:rFonts w:asciiTheme="minorBidi" w:hAnsiTheme="minorBidi" w:cstheme="minorBidi"/>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2960442E" w:rsidR="00E66558" w:rsidRPr="001C6C9F" w:rsidRDefault="00D75624" w:rsidP="00C31636">
            <w:pPr>
              <w:pStyle w:val="TableRowCentered"/>
              <w:ind w:left="0" w:right="0"/>
              <w:jc w:val="left"/>
              <w:rPr>
                <w:rFonts w:asciiTheme="minorBidi" w:hAnsiTheme="minorBidi" w:cstheme="minorBidi"/>
                <w:sz w:val="22"/>
                <w:szCs w:val="22"/>
              </w:rPr>
            </w:pPr>
            <w:r w:rsidRPr="001C6C9F">
              <w:rPr>
                <w:rFonts w:asciiTheme="minorBidi" w:hAnsiTheme="minorBidi" w:cstheme="minorBidi"/>
                <w:sz w:val="22"/>
                <w:szCs w:val="22"/>
              </w:rPr>
              <w:t>Due to difficulties outlined in Challenge 1 and / or due to additional learning needs pupils often arrive at North View Academy with significant gaps in their education and/ or delays in their core skills (reading, writing, maths) and working at significantly lower than the expected levels.</w:t>
            </w:r>
          </w:p>
        </w:tc>
      </w:tr>
      <w:tr w:rsidR="00E66558" w:rsidRPr="001C6C9F"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5AC2C5EF" w:rsidR="00E66558" w:rsidRPr="001C6C9F" w:rsidRDefault="00EF6FF4" w:rsidP="00C31636">
            <w:pPr>
              <w:pStyle w:val="TableRow"/>
              <w:ind w:left="0" w:right="0"/>
              <w:rPr>
                <w:rFonts w:asciiTheme="minorBidi" w:hAnsiTheme="minorBidi" w:cstheme="minorBidi"/>
                <w:sz w:val="22"/>
                <w:szCs w:val="22"/>
              </w:rPr>
            </w:pPr>
            <w:r w:rsidRPr="001C6C9F">
              <w:rPr>
                <w:rFonts w:asciiTheme="minorBidi" w:hAnsiTheme="minorBidi" w:cstheme="minorBidi"/>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4F581615" w:rsidR="00E66558" w:rsidRPr="001C6C9F" w:rsidRDefault="001C3418" w:rsidP="00C31636">
            <w:pPr>
              <w:pStyle w:val="TableRowCentered"/>
              <w:ind w:left="0" w:right="0"/>
              <w:jc w:val="left"/>
              <w:rPr>
                <w:rFonts w:asciiTheme="minorBidi" w:hAnsiTheme="minorBidi" w:cstheme="minorBidi"/>
                <w:iCs/>
                <w:sz w:val="22"/>
                <w:szCs w:val="22"/>
              </w:rPr>
            </w:pPr>
            <w:r w:rsidRPr="001C6C9F">
              <w:rPr>
                <w:rFonts w:asciiTheme="minorBidi" w:hAnsiTheme="minorBidi" w:cstheme="minorBidi"/>
                <w:color w:val="222222"/>
                <w:sz w:val="22"/>
                <w:szCs w:val="22"/>
                <w:shd w:val="clear" w:color="auto" w:fill="FFFFFF"/>
              </w:rPr>
              <w:t>Our pupils have a wide range of barriers to learning, including emotional dysregulation and heightened anxiety, which can impact engagement and readiness to learn. Low self-esteem and reduced confidence may affect their willingness to participate and take academic risks. Difficulties with communication and interaction can hinder the development of positive peer relationships and effective collaboration, while sensory processing differences may result in increased sensitivity to the learning environment, leading to distraction or distress. Together, these challenges can limit pupils’ ability to access the curriculum consistently and make sustained progress without targeted support.  </w:t>
            </w:r>
          </w:p>
        </w:tc>
      </w:tr>
      <w:tr w:rsidR="00E66558" w:rsidRPr="001C6C9F"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420E30A8" w:rsidR="00E66558" w:rsidRPr="001C6C9F" w:rsidRDefault="00EF6FF4" w:rsidP="00C31636">
            <w:pPr>
              <w:pStyle w:val="TableRow"/>
              <w:ind w:left="0" w:right="0"/>
              <w:rPr>
                <w:rFonts w:asciiTheme="minorBidi" w:hAnsiTheme="minorBidi" w:cstheme="minorBidi"/>
                <w:sz w:val="22"/>
                <w:szCs w:val="22"/>
              </w:rPr>
            </w:pPr>
            <w:bookmarkStart w:id="16" w:name="_Toc443397160"/>
            <w:r w:rsidRPr="001C6C9F">
              <w:rPr>
                <w:rFonts w:asciiTheme="minorBidi" w:hAnsiTheme="minorBidi" w:cstheme="minorBidi"/>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61B37CFF" w:rsidR="00E66558" w:rsidRPr="001C6C9F" w:rsidRDefault="00EF6FF4" w:rsidP="00C31636">
            <w:pPr>
              <w:pStyle w:val="TableRowCentered"/>
              <w:ind w:left="0" w:right="0"/>
              <w:jc w:val="left"/>
              <w:rPr>
                <w:rFonts w:asciiTheme="minorBidi" w:hAnsiTheme="minorBidi" w:cstheme="minorBidi"/>
                <w:iCs/>
                <w:sz w:val="22"/>
                <w:szCs w:val="22"/>
              </w:rPr>
            </w:pPr>
            <w:r w:rsidRPr="001C6C9F">
              <w:rPr>
                <w:rFonts w:asciiTheme="minorBidi" w:hAnsiTheme="minorBidi" w:cstheme="minorBidi"/>
                <w:sz w:val="22"/>
                <w:szCs w:val="22"/>
              </w:rPr>
              <w:t>Some of our</w:t>
            </w:r>
            <w:r w:rsidR="001C3418" w:rsidRPr="001C6C9F">
              <w:rPr>
                <w:rFonts w:asciiTheme="minorBidi" w:hAnsiTheme="minorBidi" w:cstheme="minorBidi"/>
                <w:sz w:val="22"/>
                <w:szCs w:val="22"/>
              </w:rPr>
              <w:t xml:space="preserve"> pupils experience inconsistent attendance linked to emotional wellbeing needs, including anxiety, emotional regulation difficulties and challenges with transitions. This can limit continuity of learning, impact progress, and reduce opportunities to develop positive relationships and routines.</w:t>
            </w:r>
          </w:p>
        </w:tc>
      </w:tr>
      <w:tr w:rsidR="00BF3DEF" w:rsidRPr="001C6C9F" w14:paraId="42FBFD0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4FB72" w14:textId="1A11BE7B" w:rsidR="00BF3DEF" w:rsidRPr="001C6C9F" w:rsidRDefault="00EF6FF4" w:rsidP="00C31636">
            <w:pPr>
              <w:pStyle w:val="TableRow"/>
              <w:ind w:left="0" w:right="0"/>
              <w:rPr>
                <w:rFonts w:asciiTheme="minorBidi" w:hAnsiTheme="minorBidi" w:cstheme="minorBidi"/>
                <w:sz w:val="22"/>
                <w:szCs w:val="22"/>
              </w:rPr>
            </w:pPr>
            <w:r w:rsidRPr="001C6C9F">
              <w:rPr>
                <w:rFonts w:asciiTheme="minorBidi" w:hAnsiTheme="minorBidi" w:cstheme="minorBidi"/>
                <w:sz w:val="22"/>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F19C1" w14:textId="6DBA2B08" w:rsidR="00BF3DEF" w:rsidRPr="001C6C9F" w:rsidRDefault="00EF6FF4" w:rsidP="00C31636">
            <w:pPr>
              <w:pStyle w:val="TableRowCentered"/>
              <w:ind w:left="0" w:right="0"/>
              <w:jc w:val="left"/>
              <w:rPr>
                <w:rFonts w:asciiTheme="minorBidi" w:hAnsiTheme="minorBidi" w:cstheme="minorBidi"/>
                <w:sz w:val="22"/>
                <w:szCs w:val="22"/>
              </w:rPr>
            </w:pPr>
            <w:r w:rsidRPr="001C6C9F">
              <w:rPr>
                <w:rFonts w:asciiTheme="minorBidi" w:hAnsiTheme="minorBidi" w:cstheme="minorBidi"/>
                <w:sz w:val="22"/>
                <w:szCs w:val="22"/>
              </w:rPr>
              <w:t>Many of our pupils</w:t>
            </w:r>
            <w:r w:rsidR="00BF3DEF" w:rsidRPr="001C6C9F">
              <w:rPr>
                <w:rFonts w:asciiTheme="minorBidi" w:hAnsiTheme="minorBidi" w:cstheme="minorBidi"/>
                <w:sz w:val="22"/>
                <w:szCs w:val="22"/>
              </w:rPr>
              <w:t xml:space="preserve"> have low resilience</w:t>
            </w:r>
            <w:r w:rsidRPr="001C6C9F">
              <w:rPr>
                <w:rFonts w:asciiTheme="minorBidi" w:hAnsiTheme="minorBidi" w:cstheme="minorBidi"/>
                <w:sz w:val="22"/>
                <w:szCs w:val="22"/>
              </w:rPr>
              <w:t xml:space="preserve"> related to their SEN</w:t>
            </w:r>
            <w:r w:rsidR="00BF3DEF" w:rsidRPr="001C6C9F">
              <w:rPr>
                <w:rFonts w:asciiTheme="minorBidi" w:hAnsiTheme="minorBidi" w:cstheme="minorBidi"/>
                <w:sz w:val="22"/>
                <w:szCs w:val="22"/>
              </w:rPr>
              <w:t xml:space="preserve"> and find it difficult to manage change, transitions and sensory environments, which can lead to heightened anxiety, reduced engagement and barriers to learning.</w:t>
            </w:r>
          </w:p>
        </w:tc>
      </w:tr>
    </w:tbl>
    <w:p w14:paraId="5827F02E" w14:textId="77777777" w:rsidR="002C334F" w:rsidRDefault="002C334F">
      <w:pPr>
        <w:pStyle w:val="Heading2"/>
        <w:spacing w:before="600"/>
        <w:rPr>
          <w:rFonts w:asciiTheme="minorBidi" w:hAnsiTheme="minorBidi" w:cstheme="minorBidi"/>
          <w:sz w:val="22"/>
          <w:szCs w:val="22"/>
        </w:rPr>
      </w:pPr>
    </w:p>
    <w:p w14:paraId="271B1A36" w14:textId="77777777" w:rsidR="002C334F" w:rsidRDefault="002C334F">
      <w:pPr>
        <w:pStyle w:val="Heading2"/>
        <w:spacing w:before="600"/>
        <w:rPr>
          <w:rFonts w:asciiTheme="minorBidi" w:hAnsiTheme="minorBidi" w:cstheme="minorBidi"/>
          <w:sz w:val="22"/>
          <w:szCs w:val="22"/>
        </w:rPr>
      </w:pPr>
    </w:p>
    <w:p w14:paraId="72951B36" w14:textId="77777777" w:rsidR="002C334F" w:rsidRDefault="002C334F">
      <w:pPr>
        <w:pStyle w:val="Heading2"/>
        <w:spacing w:before="600"/>
        <w:rPr>
          <w:rFonts w:asciiTheme="minorBidi" w:hAnsiTheme="minorBidi" w:cstheme="minorBidi"/>
          <w:sz w:val="22"/>
          <w:szCs w:val="22"/>
        </w:rPr>
      </w:pPr>
    </w:p>
    <w:p w14:paraId="40D9DF26" w14:textId="77777777" w:rsidR="002C334F" w:rsidRDefault="002C334F" w:rsidP="002C334F"/>
    <w:p w14:paraId="548DE043" w14:textId="77777777" w:rsidR="002C334F" w:rsidRPr="002C334F" w:rsidRDefault="002C334F" w:rsidP="002C334F"/>
    <w:p w14:paraId="2A7D54FF" w14:textId="556DDBC6" w:rsidR="00E66558" w:rsidRPr="001C6C9F" w:rsidRDefault="009D71E8">
      <w:pPr>
        <w:pStyle w:val="Heading2"/>
        <w:spacing w:before="600"/>
        <w:rPr>
          <w:rFonts w:asciiTheme="minorBidi" w:hAnsiTheme="minorBidi" w:cstheme="minorBidi"/>
          <w:sz w:val="22"/>
          <w:szCs w:val="22"/>
        </w:rPr>
      </w:pPr>
      <w:r w:rsidRPr="001C6C9F">
        <w:rPr>
          <w:rFonts w:asciiTheme="minorBidi" w:hAnsiTheme="minorBidi" w:cstheme="minorBidi"/>
          <w:sz w:val="22"/>
          <w:szCs w:val="22"/>
        </w:rPr>
        <w:lastRenderedPageBreak/>
        <w:t xml:space="preserve">Intended outcomes </w:t>
      </w:r>
    </w:p>
    <w:p w14:paraId="2A7D5500" w14:textId="77777777" w:rsidR="00E66558" w:rsidRPr="001C6C9F" w:rsidRDefault="009D71E8">
      <w:pPr>
        <w:rPr>
          <w:rFonts w:asciiTheme="minorBidi" w:hAnsiTheme="minorBidi" w:cstheme="minorBidi"/>
          <w:sz w:val="22"/>
          <w:szCs w:val="22"/>
        </w:rPr>
      </w:pPr>
      <w:r w:rsidRPr="001C6C9F">
        <w:rPr>
          <w:rFonts w:asciiTheme="minorBidi" w:hAnsiTheme="minorBidi" w:cstheme="minorBidi"/>
          <w:color w:val="auto"/>
          <w:sz w:val="22"/>
          <w:szCs w:val="22"/>
        </w:rPr>
        <w:t xml:space="preserve">This explains the outcomes we are aiming for </w:t>
      </w:r>
      <w:r w:rsidRPr="001C6C9F">
        <w:rPr>
          <w:rFonts w:asciiTheme="minorBidi" w:hAnsiTheme="minorBidi" w:cstheme="minorBidi"/>
          <w:b/>
          <w:bCs/>
          <w:color w:val="auto"/>
          <w:sz w:val="22"/>
          <w:szCs w:val="22"/>
        </w:rPr>
        <w:t>by the end of our current strategy plan</w:t>
      </w:r>
      <w:r w:rsidRPr="001C6C9F">
        <w:rPr>
          <w:rFonts w:asciiTheme="minorBidi" w:hAnsiTheme="minorBidi" w:cstheme="minorBidi"/>
          <w:color w:val="auto"/>
          <w:sz w:val="22"/>
          <w:szCs w:val="22"/>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1C6C9F"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Pr="001C6C9F" w:rsidRDefault="009D71E8" w:rsidP="00C31636">
            <w:pPr>
              <w:pStyle w:val="TableHeader"/>
              <w:ind w:left="0" w:right="0"/>
              <w:jc w:val="left"/>
              <w:rPr>
                <w:rFonts w:asciiTheme="minorBidi" w:hAnsiTheme="minorBidi" w:cstheme="minorBidi"/>
                <w:sz w:val="22"/>
                <w:szCs w:val="22"/>
              </w:rPr>
            </w:pPr>
            <w:r w:rsidRPr="001C6C9F">
              <w:rPr>
                <w:rFonts w:asciiTheme="minorBidi" w:hAnsiTheme="minorBidi" w:cstheme="minorBidi"/>
                <w:sz w:val="22"/>
                <w:szCs w:val="22"/>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Pr="001C6C9F" w:rsidRDefault="009D71E8" w:rsidP="00C31636">
            <w:pPr>
              <w:pStyle w:val="TableHeader"/>
              <w:ind w:left="0" w:right="0"/>
              <w:jc w:val="left"/>
              <w:rPr>
                <w:rFonts w:asciiTheme="minorBidi" w:hAnsiTheme="minorBidi" w:cstheme="minorBidi"/>
                <w:sz w:val="22"/>
                <w:szCs w:val="22"/>
              </w:rPr>
            </w:pPr>
            <w:r w:rsidRPr="001C6C9F">
              <w:rPr>
                <w:rFonts w:asciiTheme="minorBidi" w:hAnsiTheme="minorBidi" w:cstheme="minorBidi"/>
                <w:sz w:val="22"/>
                <w:szCs w:val="22"/>
              </w:rPr>
              <w:t>Success criteria</w:t>
            </w:r>
          </w:p>
        </w:tc>
      </w:tr>
      <w:tr w:rsidR="00E66558" w:rsidRPr="001C6C9F" w14:paraId="2A7D5506" w14:textId="77777777" w:rsidTr="002E5E47">
        <w:trPr>
          <w:trHeight w:val="5161"/>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46F09B21" w:rsidR="00E66558" w:rsidRPr="001C6C9F" w:rsidRDefault="00EF6FF4" w:rsidP="00C31636">
            <w:pPr>
              <w:pStyle w:val="TableRow"/>
              <w:ind w:left="0" w:right="0"/>
              <w:rPr>
                <w:rFonts w:asciiTheme="minorBidi" w:hAnsiTheme="minorBidi" w:cstheme="minorBidi"/>
                <w:sz w:val="22"/>
                <w:szCs w:val="22"/>
              </w:rPr>
            </w:pPr>
            <w:r w:rsidRPr="001C6C9F">
              <w:rPr>
                <w:rFonts w:asciiTheme="minorBidi" w:hAnsiTheme="minorBidi" w:cstheme="minorBidi"/>
                <w:color w:val="222222"/>
                <w:sz w:val="22"/>
                <w:szCs w:val="22"/>
                <w:shd w:val="clear" w:color="auto" w:fill="FFFFFF"/>
              </w:rPr>
              <w:t>Through participation in Forest School sessions, pupils will develop improved emotional regulation and resilience, leading to increased engagement in learning. The outdoor, experiential approach will support pupils to build self-esteem and confidence, enabling them to feel more secure, motivated, and positive about their abilities both in and out of the classroom.</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13CC3" w14:textId="77777777" w:rsidR="00EF6FF4" w:rsidRPr="001C6C9F" w:rsidRDefault="00EF6FF4" w:rsidP="001C6C9F">
            <w:pPr>
              <w:pStyle w:val="NormalWeb"/>
              <w:shd w:val="clear" w:color="auto" w:fill="FFFFFF"/>
              <w:ind w:firstLine="31"/>
              <w:rPr>
                <w:rFonts w:asciiTheme="minorBidi" w:hAnsiTheme="minorBidi" w:cstheme="minorBidi"/>
                <w:color w:val="222222"/>
                <w:sz w:val="22"/>
                <w:szCs w:val="22"/>
              </w:rPr>
            </w:pPr>
            <w:r w:rsidRPr="001C6C9F">
              <w:rPr>
                <w:rFonts w:asciiTheme="minorBidi" w:hAnsiTheme="minorBidi" w:cstheme="minorBidi"/>
                <w:color w:val="222222"/>
                <w:sz w:val="22"/>
                <w:szCs w:val="22"/>
              </w:rPr>
              <w:t>Pupils demonstrate improved emotional regulation, with a reduction in anxiety-related behaviours and emotional dysregulation during the school day.</w:t>
            </w:r>
          </w:p>
          <w:p w14:paraId="2CD0DEFD" w14:textId="77777777" w:rsidR="00EF6FF4" w:rsidRPr="001C6C9F" w:rsidRDefault="00EF6FF4" w:rsidP="001C6C9F">
            <w:pPr>
              <w:pStyle w:val="NormalWeb"/>
              <w:shd w:val="clear" w:color="auto" w:fill="FFFFFF"/>
              <w:ind w:firstLine="31"/>
              <w:rPr>
                <w:rFonts w:asciiTheme="minorBidi" w:hAnsiTheme="minorBidi" w:cstheme="minorBidi"/>
                <w:color w:val="222222"/>
                <w:sz w:val="22"/>
                <w:szCs w:val="22"/>
              </w:rPr>
            </w:pPr>
            <w:r w:rsidRPr="001C6C9F">
              <w:rPr>
                <w:rFonts w:asciiTheme="minorBidi" w:hAnsiTheme="minorBidi" w:cstheme="minorBidi"/>
                <w:color w:val="222222"/>
                <w:sz w:val="22"/>
                <w:szCs w:val="22"/>
              </w:rPr>
              <w:t>Pupils show increased confidence and self-esteem, demonstrated through greater willingness to try new activities, take risks in learning, and express their ideas.</w:t>
            </w:r>
          </w:p>
          <w:p w14:paraId="64075C2F" w14:textId="77777777" w:rsidR="00EF6FF4" w:rsidRPr="001C6C9F" w:rsidRDefault="00EF6FF4" w:rsidP="001C6C9F">
            <w:pPr>
              <w:pStyle w:val="NormalWeb"/>
              <w:shd w:val="clear" w:color="auto" w:fill="FFFFFF"/>
              <w:ind w:firstLine="31"/>
              <w:rPr>
                <w:rFonts w:asciiTheme="minorBidi" w:hAnsiTheme="minorBidi" w:cstheme="minorBidi"/>
                <w:color w:val="222222"/>
                <w:sz w:val="22"/>
                <w:szCs w:val="22"/>
              </w:rPr>
            </w:pPr>
            <w:r w:rsidRPr="001C6C9F">
              <w:rPr>
                <w:rFonts w:asciiTheme="minorBidi" w:hAnsiTheme="minorBidi" w:cstheme="minorBidi"/>
                <w:color w:val="222222"/>
                <w:sz w:val="22"/>
                <w:szCs w:val="22"/>
              </w:rPr>
              <w:t>Improved social interaction and communication skills, with pupils able to work collaboratively, follow instructions, and build positive relationships with peers and adults.</w:t>
            </w:r>
          </w:p>
          <w:p w14:paraId="2A7D5505" w14:textId="7D1A355F" w:rsidR="00E66558" w:rsidRPr="001C6C9F" w:rsidRDefault="00EF6FF4" w:rsidP="001C6C9F">
            <w:pPr>
              <w:pStyle w:val="NormalWeb"/>
              <w:shd w:val="clear" w:color="auto" w:fill="FFFFFF"/>
              <w:ind w:firstLine="31"/>
              <w:rPr>
                <w:rFonts w:asciiTheme="minorBidi" w:hAnsiTheme="minorBidi" w:cstheme="minorBidi"/>
                <w:color w:val="222222"/>
                <w:sz w:val="22"/>
                <w:szCs w:val="22"/>
              </w:rPr>
            </w:pPr>
            <w:r w:rsidRPr="001C6C9F">
              <w:rPr>
                <w:rFonts w:asciiTheme="minorBidi" w:hAnsiTheme="minorBidi" w:cstheme="minorBidi"/>
                <w:color w:val="222222"/>
                <w:sz w:val="22"/>
                <w:szCs w:val="22"/>
              </w:rPr>
              <w:t>Pupil voice and staff observations indicate improved wellbeing, enjoyment of learning, and a sense of achievement.</w:t>
            </w:r>
          </w:p>
        </w:tc>
      </w:tr>
      <w:tr w:rsidR="003B372D" w:rsidRPr="001C6C9F"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7BB4AE67" w:rsidR="003B372D" w:rsidRPr="001C6C9F" w:rsidRDefault="003B372D" w:rsidP="003B372D">
            <w:pPr>
              <w:pStyle w:val="TableRow"/>
              <w:ind w:left="0" w:right="0"/>
              <w:rPr>
                <w:rFonts w:asciiTheme="minorBidi" w:hAnsiTheme="minorBidi" w:cstheme="minorBidi"/>
                <w:sz w:val="22"/>
                <w:szCs w:val="22"/>
              </w:rPr>
            </w:pPr>
            <w:r w:rsidRPr="001C6C9F">
              <w:rPr>
                <w:rFonts w:asciiTheme="minorBidi" w:hAnsiTheme="minorBidi" w:cstheme="minorBidi"/>
                <w:sz w:val="22"/>
                <w:szCs w:val="22"/>
              </w:rPr>
              <w:t>To improve whole school reading outcomes for pupils, showing good progress from starting points (on entry / start of school year depending on mobility).</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8" w14:textId="1CE28C84" w:rsidR="003B372D" w:rsidRPr="001C6C9F" w:rsidRDefault="003B372D" w:rsidP="001C6C9F">
            <w:pPr>
              <w:pStyle w:val="TableRowCentered"/>
              <w:ind w:left="0" w:right="0" w:firstLine="31"/>
              <w:jc w:val="left"/>
              <w:rPr>
                <w:rFonts w:asciiTheme="minorBidi" w:hAnsiTheme="minorBidi" w:cstheme="minorBidi"/>
                <w:sz w:val="22"/>
                <w:szCs w:val="22"/>
              </w:rPr>
            </w:pPr>
            <w:r w:rsidRPr="001C6C9F">
              <w:rPr>
                <w:rFonts w:asciiTheme="minorBidi" w:hAnsiTheme="minorBidi" w:cstheme="minorBidi"/>
                <w:sz w:val="22"/>
                <w:szCs w:val="22"/>
              </w:rPr>
              <w:t>A higher proportion of pupils reached required level in reading.</w:t>
            </w:r>
          </w:p>
        </w:tc>
      </w:tr>
      <w:tr w:rsidR="003B372D" w:rsidRPr="001C6C9F"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48153" w14:textId="56202767" w:rsidR="003B372D" w:rsidRPr="001C6C9F" w:rsidRDefault="003B372D" w:rsidP="003B372D">
            <w:pPr>
              <w:pStyle w:val="NormalWeb"/>
              <w:rPr>
                <w:rFonts w:asciiTheme="minorBidi" w:hAnsiTheme="minorBidi" w:cstheme="minorBidi"/>
                <w:color w:val="000000" w:themeColor="text1"/>
                <w:sz w:val="22"/>
                <w:szCs w:val="22"/>
              </w:rPr>
            </w:pPr>
            <w:r w:rsidRPr="001C6C9F">
              <w:rPr>
                <w:rFonts w:asciiTheme="minorBidi" w:hAnsiTheme="minorBidi" w:cstheme="minorBidi"/>
                <w:color w:val="000000" w:themeColor="text1"/>
                <w:sz w:val="22"/>
                <w:szCs w:val="22"/>
              </w:rPr>
              <w:t>All pupils make improved progress in writing, with increased confidence, independence and attainment as a result of consistently embedded quality first teaching and the implementation of a new whole-school writing framework.</w:t>
            </w:r>
          </w:p>
          <w:p w14:paraId="2A7D550A" w14:textId="149CDE25" w:rsidR="003B372D" w:rsidRPr="001C6C9F" w:rsidRDefault="003B372D" w:rsidP="002E5E47">
            <w:pPr>
              <w:pStyle w:val="NormalWeb"/>
              <w:rPr>
                <w:rFonts w:asciiTheme="minorBidi" w:hAnsiTheme="minorBidi" w:cstheme="minorBidi"/>
                <w:color w:val="000000" w:themeColor="text1"/>
                <w:sz w:val="22"/>
                <w:szCs w:val="22"/>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B8442" w14:textId="77777777" w:rsidR="003B372D" w:rsidRPr="001C6C9F" w:rsidRDefault="003B372D" w:rsidP="001C6C9F">
            <w:pPr>
              <w:pStyle w:val="NormalWeb"/>
              <w:ind w:firstLine="31"/>
              <w:rPr>
                <w:rFonts w:asciiTheme="minorBidi" w:hAnsiTheme="minorBidi" w:cstheme="minorBidi"/>
                <w:color w:val="000000" w:themeColor="text1"/>
                <w:sz w:val="22"/>
                <w:szCs w:val="22"/>
              </w:rPr>
            </w:pPr>
            <w:r w:rsidRPr="001C6C9F">
              <w:rPr>
                <w:rFonts w:asciiTheme="minorBidi" w:hAnsiTheme="minorBidi" w:cstheme="minorBidi"/>
                <w:color w:val="000000" w:themeColor="text1"/>
                <w:sz w:val="22"/>
                <w:szCs w:val="22"/>
              </w:rPr>
              <w:t>Quality first teaching in writing is consistently implemented across all classes, evidenced through learning walks, planning scrutiny and pupil work</w:t>
            </w:r>
          </w:p>
          <w:p w14:paraId="03CD9546" w14:textId="77777777" w:rsidR="003B372D" w:rsidRPr="001C6C9F" w:rsidRDefault="003B372D" w:rsidP="001C6C9F">
            <w:pPr>
              <w:pStyle w:val="NormalWeb"/>
              <w:ind w:firstLine="31"/>
              <w:rPr>
                <w:rFonts w:asciiTheme="minorBidi" w:hAnsiTheme="minorBidi" w:cstheme="minorBidi"/>
                <w:color w:val="000000" w:themeColor="text1"/>
                <w:sz w:val="22"/>
                <w:szCs w:val="22"/>
              </w:rPr>
            </w:pPr>
            <w:r w:rsidRPr="001C6C9F">
              <w:rPr>
                <w:rFonts w:asciiTheme="minorBidi" w:hAnsiTheme="minorBidi" w:cstheme="minorBidi"/>
                <w:color w:val="000000" w:themeColor="text1"/>
                <w:sz w:val="22"/>
                <w:szCs w:val="22"/>
              </w:rPr>
              <w:t>Staff demonstrate secure understanding and use of the new writing framework</w:t>
            </w:r>
          </w:p>
          <w:p w14:paraId="00E441E0" w14:textId="77777777" w:rsidR="003B372D" w:rsidRPr="001C6C9F" w:rsidRDefault="003B372D" w:rsidP="001C6C9F">
            <w:pPr>
              <w:pStyle w:val="NormalWeb"/>
              <w:ind w:firstLine="31"/>
              <w:rPr>
                <w:rFonts w:asciiTheme="minorBidi" w:hAnsiTheme="minorBidi" w:cstheme="minorBidi"/>
                <w:color w:val="000000" w:themeColor="text1"/>
                <w:sz w:val="22"/>
                <w:szCs w:val="22"/>
              </w:rPr>
            </w:pPr>
            <w:r w:rsidRPr="001C6C9F">
              <w:rPr>
                <w:rFonts w:asciiTheme="minorBidi" w:hAnsiTheme="minorBidi" w:cstheme="minorBidi"/>
                <w:color w:val="000000" w:themeColor="text1"/>
                <w:sz w:val="22"/>
                <w:szCs w:val="22"/>
              </w:rPr>
              <w:t>Pupils show improved engagement and stamina in writing tasks</w:t>
            </w:r>
          </w:p>
          <w:p w14:paraId="4FBFDEA1" w14:textId="30E2BB7C" w:rsidR="003B372D" w:rsidRPr="001C6C9F" w:rsidRDefault="003B372D" w:rsidP="001C6C9F">
            <w:pPr>
              <w:pStyle w:val="NormalWeb"/>
              <w:ind w:firstLine="31"/>
              <w:rPr>
                <w:rFonts w:asciiTheme="minorBidi" w:hAnsiTheme="minorBidi" w:cstheme="minorBidi"/>
                <w:color w:val="000000" w:themeColor="text1"/>
                <w:sz w:val="22"/>
                <w:szCs w:val="22"/>
              </w:rPr>
            </w:pPr>
            <w:r w:rsidRPr="001C6C9F">
              <w:rPr>
                <w:rFonts w:asciiTheme="minorBidi" w:hAnsiTheme="minorBidi" w:cstheme="minorBidi"/>
                <w:color w:val="000000" w:themeColor="text1"/>
                <w:sz w:val="22"/>
                <w:szCs w:val="22"/>
              </w:rPr>
              <w:t xml:space="preserve">A higher proportion of disadvantaged pupils meet writing targets </w:t>
            </w:r>
          </w:p>
          <w:p w14:paraId="2A7D550B" w14:textId="7E9C9DFF" w:rsidR="003B372D" w:rsidRPr="001C6C9F" w:rsidRDefault="003B372D" w:rsidP="001C6C9F">
            <w:pPr>
              <w:pStyle w:val="NormalWeb"/>
              <w:ind w:firstLine="31"/>
              <w:rPr>
                <w:rFonts w:asciiTheme="minorBidi" w:hAnsiTheme="minorBidi" w:cstheme="minorBidi"/>
                <w:color w:val="000000" w:themeColor="text1"/>
                <w:sz w:val="22"/>
                <w:szCs w:val="22"/>
              </w:rPr>
            </w:pPr>
            <w:r w:rsidRPr="001C6C9F">
              <w:rPr>
                <w:rFonts w:asciiTheme="minorBidi" w:hAnsiTheme="minorBidi" w:cstheme="minorBidi"/>
                <w:color w:val="000000" w:themeColor="text1"/>
                <w:sz w:val="22"/>
                <w:szCs w:val="22"/>
              </w:rPr>
              <w:t>Writing outcomes show measurable improvement from individual starting points</w:t>
            </w:r>
          </w:p>
        </w:tc>
      </w:tr>
      <w:tr w:rsidR="003B372D" w:rsidRPr="001C6C9F"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61E15556" w:rsidR="003B372D" w:rsidRPr="001C6C9F" w:rsidRDefault="003B372D" w:rsidP="003B372D">
            <w:pPr>
              <w:pStyle w:val="TableRow"/>
              <w:ind w:left="0" w:right="0"/>
              <w:rPr>
                <w:rFonts w:asciiTheme="minorBidi" w:hAnsiTheme="minorBidi" w:cstheme="minorBidi"/>
                <w:color w:val="000000" w:themeColor="text1"/>
                <w:sz w:val="22"/>
                <w:szCs w:val="22"/>
              </w:rPr>
            </w:pPr>
            <w:r w:rsidRPr="001C6C9F">
              <w:rPr>
                <w:rFonts w:asciiTheme="minorBidi" w:hAnsiTheme="minorBidi" w:cstheme="minorBidi"/>
                <w:color w:val="000000" w:themeColor="text1"/>
                <w:sz w:val="22"/>
                <w:szCs w:val="22"/>
              </w:rPr>
              <w:t>To improve whole school maths outcomes for pupils, showing good progress from starting points (on entry / start of school year depending on mobility).</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E" w14:textId="20AAC7FA" w:rsidR="003B372D" w:rsidRPr="001C6C9F" w:rsidRDefault="003B372D" w:rsidP="001C6C9F">
            <w:pPr>
              <w:pStyle w:val="TableRowCentered"/>
              <w:ind w:left="0" w:right="0" w:firstLine="31"/>
              <w:jc w:val="left"/>
              <w:rPr>
                <w:rFonts w:asciiTheme="minorBidi" w:hAnsiTheme="minorBidi" w:cstheme="minorBidi"/>
                <w:color w:val="000000" w:themeColor="text1"/>
                <w:sz w:val="22"/>
                <w:szCs w:val="22"/>
              </w:rPr>
            </w:pPr>
            <w:r w:rsidRPr="001C6C9F">
              <w:rPr>
                <w:rFonts w:asciiTheme="minorBidi" w:hAnsiTheme="minorBidi" w:cstheme="minorBidi"/>
                <w:color w:val="000000" w:themeColor="text1"/>
                <w:sz w:val="22"/>
                <w:szCs w:val="22"/>
              </w:rPr>
              <w:t>A higher proportion of pupils reached required level in maths.</w:t>
            </w:r>
          </w:p>
        </w:tc>
      </w:tr>
      <w:tr w:rsidR="002E5E47" w:rsidRPr="001C6C9F" w14:paraId="4D1836A3"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0078F" w14:textId="2074F2A0" w:rsidR="002E5E47" w:rsidRPr="001C6C9F" w:rsidRDefault="002E5E47" w:rsidP="002E5E47">
            <w:pPr>
              <w:pStyle w:val="TableRow"/>
              <w:ind w:left="0" w:right="0"/>
              <w:rPr>
                <w:rFonts w:asciiTheme="minorBidi" w:hAnsiTheme="minorBidi" w:cstheme="minorBidi"/>
                <w:color w:val="000000" w:themeColor="text1"/>
                <w:sz w:val="22"/>
                <w:szCs w:val="22"/>
              </w:rPr>
            </w:pPr>
            <w:r w:rsidRPr="001C6C9F">
              <w:rPr>
                <w:rFonts w:asciiTheme="minorBidi" w:hAnsiTheme="minorBidi" w:cstheme="minorBidi"/>
                <w:color w:val="000000" w:themeColor="text1"/>
                <w:sz w:val="22"/>
                <w:szCs w:val="22"/>
              </w:rPr>
              <w:t xml:space="preserve">LTP of enrichment (visits and visitors) which support the curriculum teaching.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EEB5E" w14:textId="29129423" w:rsidR="002E5E47" w:rsidRPr="001C6C9F" w:rsidRDefault="002E5E47" w:rsidP="001C6C9F">
            <w:pPr>
              <w:pStyle w:val="TableRowCentered"/>
              <w:ind w:left="0" w:right="0" w:firstLine="31"/>
              <w:jc w:val="left"/>
              <w:rPr>
                <w:rFonts w:asciiTheme="minorBidi" w:hAnsiTheme="minorBidi" w:cstheme="minorBidi"/>
                <w:color w:val="000000" w:themeColor="text1"/>
                <w:sz w:val="22"/>
                <w:szCs w:val="22"/>
              </w:rPr>
            </w:pPr>
            <w:r w:rsidRPr="001C6C9F">
              <w:rPr>
                <w:rFonts w:asciiTheme="minorBidi" w:hAnsiTheme="minorBidi" w:cstheme="minorBidi"/>
                <w:color w:val="000000" w:themeColor="text1"/>
                <w:sz w:val="22"/>
                <w:szCs w:val="22"/>
              </w:rPr>
              <w:t>A LTP of enrichment is in place to provide rea</w:t>
            </w:r>
            <w:r w:rsidR="001C6C9F">
              <w:rPr>
                <w:rFonts w:asciiTheme="minorBidi" w:hAnsiTheme="minorBidi" w:cstheme="minorBidi"/>
                <w:color w:val="000000" w:themeColor="text1"/>
                <w:sz w:val="22"/>
                <w:szCs w:val="22"/>
              </w:rPr>
              <w:t xml:space="preserve">l </w:t>
            </w:r>
            <w:r w:rsidRPr="001C6C9F">
              <w:rPr>
                <w:rFonts w:asciiTheme="minorBidi" w:hAnsiTheme="minorBidi" w:cstheme="minorBidi"/>
                <w:color w:val="000000" w:themeColor="text1"/>
                <w:sz w:val="22"/>
                <w:szCs w:val="22"/>
              </w:rPr>
              <w:t xml:space="preserve">life experiences for pupils learning </w:t>
            </w:r>
          </w:p>
        </w:tc>
      </w:tr>
      <w:tr w:rsidR="002E5E47" w:rsidRPr="001C6C9F" w14:paraId="59F8404B"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71BE4" w14:textId="6CCBB214" w:rsidR="002E5E47" w:rsidRPr="001C6C9F" w:rsidRDefault="002E5E47" w:rsidP="002E5E47">
            <w:pPr>
              <w:pStyle w:val="TableRow"/>
              <w:ind w:left="0" w:right="0"/>
              <w:rPr>
                <w:rFonts w:asciiTheme="minorBidi" w:hAnsiTheme="minorBidi" w:cstheme="minorBidi"/>
                <w:color w:val="000000" w:themeColor="text1"/>
                <w:sz w:val="22"/>
                <w:szCs w:val="22"/>
              </w:rPr>
            </w:pPr>
            <w:r w:rsidRPr="001C6C9F">
              <w:rPr>
                <w:rFonts w:asciiTheme="minorBidi" w:hAnsiTheme="minorBidi" w:cstheme="minorBidi"/>
                <w:color w:val="000000" w:themeColor="text1"/>
                <w:sz w:val="22"/>
                <w:szCs w:val="22"/>
              </w:rPr>
              <w:lastRenderedPageBreak/>
              <w:t>Attendance is improved for pupils with persistent absence.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5E1E6" w14:textId="3933E083" w:rsidR="002E5E47" w:rsidRPr="001C6C9F" w:rsidRDefault="002E5E47" w:rsidP="001C6C9F">
            <w:pPr>
              <w:pStyle w:val="TableRowCentered"/>
              <w:ind w:left="0" w:right="0" w:firstLine="31"/>
              <w:jc w:val="left"/>
              <w:rPr>
                <w:rFonts w:asciiTheme="minorBidi" w:hAnsiTheme="minorBidi" w:cstheme="minorBidi"/>
                <w:color w:val="000000" w:themeColor="text1"/>
                <w:sz w:val="22"/>
                <w:szCs w:val="22"/>
              </w:rPr>
            </w:pPr>
            <w:r w:rsidRPr="001C6C9F">
              <w:rPr>
                <w:rFonts w:asciiTheme="minorBidi" w:hAnsiTheme="minorBidi" w:cstheme="minorBidi"/>
                <w:color w:val="000000" w:themeColor="text1"/>
                <w:sz w:val="22"/>
                <w:szCs w:val="22"/>
              </w:rPr>
              <w:t xml:space="preserve">Attendance figures are improved with procedures in place to tackle persistent absence. </w:t>
            </w:r>
          </w:p>
        </w:tc>
      </w:tr>
      <w:tr w:rsidR="001C6C9F" w:rsidRPr="001C6C9F" w14:paraId="35CD8180"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BAA65" w14:textId="1FDF24F0" w:rsidR="001C6C9F" w:rsidRPr="001C6C9F" w:rsidRDefault="001C6C9F" w:rsidP="001C6C9F">
            <w:pPr>
              <w:pStyle w:val="NormalWeb"/>
              <w:rPr>
                <w:rFonts w:asciiTheme="minorBidi" w:hAnsiTheme="minorBidi" w:cstheme="minorBidi"/>
                <w:sz w:val="22"/>
                <w:szCs w:val="22"/>
              </w:rPr>
            </w:pPr>
            <w:r w:rsidRPr="001C6C9F">
              <w:rPr>
                <w:rFonts w:asciiTheme="minorBidi" w:hAnsiTheme="minorBidi" w:cstheme="minorBidi"/>
                <w:sz w:val="22"/>
                <w:szCs w:val="22"/>
              </w:rPr>
              <w:t>Pupils show improved social, emotional and academic outcomes as a result of timely, targeted interventions delivered individually and in small groups, enabling them to better access learning and achieve their targets.</w:t>
            </w:r>
          </w:p>
          <w:p w14:paraId="23609E81" w14:textId="77777777" w:rsidR="001C6C9F" w:rsidRPr="001C6C9F" w:rsidRDefault="001C6C9F" w:rsidP="001C6C9F">
            <w:pPr>
              <w:pStyle w:val="NormalWeb"/>
              <w:rPr>
                <w:rFonts w:asciiTheme="minorBidi" w:hAnsiTheme="minorBidi" w:cstheme="minorBidi"/>
                <w:color w:val="666699"/>
                <w:sz w:val="22"/>
                <w:szCs w:val="22"/>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061EC" w14:textId="77777777" w:rsidR="001C6C9F" w:rsidRPr="001C6C9F" w:rsidRDefault="001C6C9F" w:rsidP="001C6C9F">
            <w:pPr>
              <w:pStyle w:val="NormalWeb"/>
              <w:ind w:firstLine="31"/>
              <w:rPr>
                <w:rFonts w:asciiTheme="minorBidi" w:hAnsiTheme="minorBidi" w:cstheme="minorBidi"/>
                <w:sz w:val="22"/>
                <w:szCs w:val="22"/>
              </w:rPr>
            </w:pPr>
            <w:r w:rsidRPr="001C6C9F">
              <w:rPr>
                <w:rFonts w:asciiTheme="minorBidi" w:hAnsiTheme="minorBidi" w:cstheme="minorBidi"/>
                <w:sz w:val="22"/>
                <w:szCs w:val="22"/>
              </w:rPr>
              <w:t xml:space="preserve">Targeted interventions are matched to </w:t>
            </w:r>
            <w:proofErr w:type="gramStart"/>
            <w:r w:rsidRPr="001C6C9F">
              <w:rPr>
                <w:rFonts w:asciiTheme="minorBidi" w:hAnsiTheme="minorBidi" w:cstheme="minorBidi"/>
                <w:sz w:val="22"/>
                <w:szCs w:val="22"/>
              </w:rPr>
              <w:t>pupils’</w:t>
            </w:r>
            <w:proofErr w:type="gramEnd"/>
            <w:r w:rsidRPr="001C6C9F">
              <w:rPr>
                <w:rFonts w:asciiTheme="minorBidi" w:hAnsiTheme="minorBidi" w:cstheme="minorBidi"/>
                <w:sz w:val="22"/>
                <w:szCs w:val="22"/>
              </w:rPr>
              <w:t xml:space="preserve"> identified needs and EHCP outcomes</w:t>
            </w:r>
          </w:p>
          <w:p w14:paraId="79696B81" w14:textId="77777777" w:rsidR="001C6C9F" w:rsidRPr="001C6C9F" w:rsidRDefault="001C6C9F" w:rsidP="001C6C9F">
            <w:pPr>
              <w:pStyle w:val="NormalWeb"/>
              <w:ind w:firstLine="31"/>
              <w:rPr>
                <w:rFonts w:asciiTheme="minorBidi" w:hAnsiTheme="minorBidi" w:cstheme="minorBidi"/>
                <w:sz w:val="22"/>
                <w:szCs w:val="22"/>
              </w:rPr>
            </w:pPr>
            <w:r w:rsidRPr="001C6C9F">
              <w:rPr>
                <w:rFonts w:asciiTheme="minorBidi" w:hAnsiTheme="minorBidi" w:cstheme="minorBidi"/>
                <w:sz w:val="22"/>
                <w:szCs w:val="22"/>
              </w:rPr>
              <w:t>Pupils demonstrate improved emotional regulation, engagement and readiness to learn</w:t>
            </w:r>
          </w:p>
          <w:p w14:paraId="5C4E2CB9" w14:textId="77777777" w:rsidR="001C6C9F" w:rsidRPr="001C6C9F" w:rsidRDefault="001C6C9F" w:rsidP="001C6C9F">
            <w:pPr>
              <w:pStyle w:val="NormalWeb"/>
              <w:ind w:firstLine="31"/>
              <w:rPr>
                <w:rFonts w:asciiTheme="minorBidi" w:hAnsiTheme="minorBidi" w:cstheme="minorBidi"/>
                <w:sz w:val="22"/>
                <w:szCs w:val="22"/>
              </w:rPr>
            </w:pPr>
            <w:r w:rsidRPr="001C6C9F">
              <w:rPr>
                <w:rFonts w:asciiTheme="minorBidi" w:hAnsiTheme="minorBidi" w:cstheme="minorBidi"/>
                <w:sz w:val="22"/>
                <w:szCs w:val="22"/>
              </w:rPr>
              <w:t>Progress is evident in academic skills from individual starting points</w:t>
            </w:r>
          </w:p>
          <w:p w14:paraId="3E168E99" w14:textId="77777777" w:rsidR="001C6C9F" w:rsidRPr="001C6C9F" w:rsidRDefault="001C6C9F" w:rsidP="001C6C9F">
            <w:pPr>
              <w:pStyle w:val="NormalWeb"/>
              <w:ind w:firstLine="31"/>
              <w:rPr>
                <w:rFonts w:asciiTheme="minorBidi" w:hAnsiTheme="minorBidi" w:cstheme="minorBidi"/>
                <w:sz w:val="22"/>
                <w:szCs w:val="22"/>
              </w:rPr>
            </w:pPr>
            <w:r w:rsidRPr="001C6C9F">
              <w:rPr>
                <w:rFonts w:asciiTheme="minorBidi" w:hAnsiTheme="minorBidi" w:cstheme="minorBidi"/>
                <w:sz w:val="22"/>
                <w:szCs w:val="22"/>
              </w:rPr>
              <w:t>Pupils are able to sustain learning for longer periods and participate more positively in group activities</w:t>
            </w:r>
          </w:p>
          <w:p w14:paraId="4CAD777B" w14:textId="6433C21A" w:rsidR="001C6C9F" w:rsidRPr="001C6C9F" w:rsidRDefault="001C6C9F" w:rsidP="001C6C9F">
            <w:pPr>
              <w:pStyle w:val="NormalWeb"/>
              <w:ind w:firstLine="31"/>
              <w:rPr>
                <w:rFonts w:asciiTheme="minorBidi" w:hAnsiTheme="minorBidi" w:cstheme="minorBidi"/>
                <w:sz w:val="22"/>
                <w:szCs w:val="22"/>
              </w:rPr>
            </w:pPr>
            <w:r w:rsidRPr="001C6C9F">
              <w:rPr>
                <w:rFonts w:asciiTheme="minorBidi" w:hAnsiTheme="minorBidi" w:cstheme="minorBidi"/>
                <w:sz w:val="22"/>
                <w:szCs w:val="22"/>
              </w:rPr>
              <w:t>A higher proportion of disadvantaged pupils meet their academic and social-</w:t>
            </w:r>
            <w:proofErr w:type="gramStart"/>
            <w:r w:rsidRPr="001C6C9F">
              <w:rPr>
                <w:rFonts w:asciiTheme="minorBidi" w:hAnsiTheme="minorBidi" w:cstheme="minorBidi"/>
                <w:sz w:val="22"/>
                <w:szCs w:val="22"/>
              </w:rPr>
              <w:t>emotional</w:t>
            </w:r>
            <w:r>
              <w:rPr>
                <w:rFonts w:asciiTheme="minorBidi" w:hAnsiTheme="minorBidi" w:cstheme="minorBidi"/>
                <w:sz w:val="22"/>
                <w:szCs w:val="22"/>
              </w:rPr>
              <w:t xml:space="preserve"> </w:t>
            </w:r>
            <w:r w:rsidRPr="001C6C9F">
              <w:rPr>
                <w:rFonts w:asciiTheme="minorBidi" w:hAnsiTheme="minorBidi" w:cstheme="minorBidi"/>
                <w:sz w:val="22"/>
                <w:szCs w:val="22"/>
              </w:rPr>
              <w:t xml:space="preserve"> targets</w:t>
            </w:r>
            <w:proofErr w:type="gramEnd"/>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1F21A0CC" w:rsidR="00E66558" w:rsidRDefault="009D71E8">
      <w:r>
        <w:t xml:space="preserve">Budgeted cost: £ </w:t>
      </w:r>
      <w:r w:rsidR="002C334F">
        <w:t>48,730</w:t>
      </w:r>
    </w:p>
    <w:tbl>
      <w:tblPr>
        <w:tblW w:w="5000" w:type="pct"/>
        <w:tblCellMar>
          <w:left w:w="10" w:type="dxa"/>
          <w:right w:w="10" w:type="dxa"/>
        </w:tblCellMar>
        <w:tblLook w:val="04A0" w:firstRow="1" w:lastRow="0" w:firstColumn="1" w:lastColumn="0" w:noHBand="0" w:noVBand="1"/>
      </w:tblPr>
      <w:tblGrid>
        <w:gridCol w:w="1738"/>
        <w:gridCol w:w="6496"/>
        <w:gridCol w:w="1252"/>
      </w:tblGrid>
      <w:tr w:rsidR="00E66558" w14:paraId="2A7D5519" w14:textId="77777777" w:rsidTr="002C334F">
        <w:tc>
          <w:tcPr>
            <w:tcW w:w="173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649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125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Pr="00511033" w:rsidRDefault="009D71E8" w:rsidP="00C31636">
            <w:pPr>
              <w:pStyle w:val="TableHeader"/>
              <w:ind w:left="0" w:right="0"/>
              <w:jc w:val="left"/>
              <w:rPr>
                <w:sz w:val="22"/>
                <w:szCs w:val="22"/>
              </w:rPr>
            </w:pPr>
            <w:r w:rsidRPr="00511033">
              <w:rPr>
                <w:sz w:val="22"/>
                <w:szCs w:val="22"/>
              </w:rPr>
              <w:t>Challenge number(s) addressed</w:t>
            </w:r>
          </w:p>
        </w:tc>
      </w:tr>
      <w:tr w:rsidR="00E66558" w14:paraId="2A7D551D" w14:textId="77777777" w:rsidTr="002C334F">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A" w14:textId="3D8BB345" w:rsidR="00E66558" w:rsidRDefault="00AA7AE9" w:rsidP="00C31636">
            <w:pPr>
              <w:pStyle w:val="TableRow"/>
              <w:ind w:left="0" w:right="0"/>
            </w:pPr>
            <w:r>
              <w:rPr>
                <w:i/>
                <w:iCs/>
                <w:sz w:val="22"/>
                <w:szCs w:val="22"/>
              </w:rPr>
              <w:t>Pupils participate in regular Forest School sessions in the school grounds, delivered by qualified Forest School staff.</w:t>
            </w:r>
          </w:p>
        </w:tc>
        <w:tc>
          <w:tcPr>
            <w:tcW w:w="6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1BD8F" w14:textId="77777777" w:rsidR="00AA7AE9" w:rsidRDefault="00AA7AE9" w:rsidP="00AA7AE9">
            <w:pPr>
              <w:pStyle w:val="NormalWeb"/>
              <w:rPr>
                <w:rFonts w:asciiTheme="minorBidi" w:hAnsiTheme="minorBidi" w:cstheme="minorBidi"/>
                <w:sz w:val="22"/>
                <w:szCs w:val="22"/>
              </w:rPr>
            </w:pPr>
            <w:r w:rsidRPr="00AA7AE9">
              <w:rPr>
                <w:rFonts w:asciiTheme="minorBidi" w:hAnsiTheme="minorBidi" w:cstheme="minorBidi"/>
                <w:sz w:val="22"/>
                <w:szCs w:val="22"/>
              </w:rPr>
              <w:t>Research indicates that Forest School approaches significantly enhance pupils’ emotional regulation and resilience, which in turn supports increased engagement in learning. By providing an outdoor, experiential environment, pupils have opportunities to develop self-esteem, confidence, and a sense of agency. This approach enables them to feel more secure, motivated, and positive about their abilities, both within the classroom and beyond, fostering social, emotional, and academic growth.</w:t>
            </w:r>
          </w:p>
          <w:p w14:paraId="7C962403" w14:textId="5CEA3FE3" w:rsidR="00AA7AE9" w:rsidRPr="00AA7AE9" w:rsidRDefault="00AA7AE9" w:rsidP="00AA7AE9">
            <w:pPr>
              <w:pStyle w:val="NormalWeb"/>
              <w:rPr>
                <w:rFonts w:asciiTheme="minorBidi" w:hAnsiTheme="minorBidi" w:cstheme="minorBidi"/>
                <w:sz w:val="22"/>
                <w:szCs w:val="22"/>
              </w:rPr>
            </w:pPr>
            <w:r w:rsidRPr="00AA7AE9">
              <w:rPr>
                <w:rFonts w:asciiTheme="minorBidi" w:hAnsiTheme="minorBidi" w:cstheme="minorBidi"/>
                <w:sz w:val="22"/>
                <w:szCs w:val="22"/>
              </w:rPr>
              <w:t xml:space="preserve"> </w:t>
            </w:r>
            <w:r w:rsidRPr="00AA7AE9">
              <w:rPr>
                <w:rStyle w:val="Strong"/>
                <w:rFonts w:asciiTheme="minorBidi" w:hAnsiTheme="minorBidi" w:cstheme="minorBidi"/>
                <w:sz w:val="22"/>
                <w:szCs w:val="22"/>
              </w:rPr>
              <w:t>Forest Schools: Impact on Young Children in England and Wales (Forest Research / New Economics Foundation)</w:t>
            </w:r>
            <w:r w:rsidRPr="00AA7AE9">
              <w:rPr>
                <w:rFonts w:asciiTheme="minorBidi" w:hAnsiTheme="minorBidi" w:cstheme="minorBidi"/>
                <w:sz w:val="22"/>
                <w:szCs w:val="22"/>
              </w:rPr>
              <w:t xml:space="preserve"> – </w:t>
            </w:r>
            <w:r w:rsidRPr="00AA7AE9">
              <w:rPr>
                <w:rFonts w:asciiTheme="minorBidi" w:hAnsiTheme="minorBidi" w:cstheme="minorBidi"/>
                <w:sz w:val="22"/>
                <w:szCs w:val="22"/>
              </w:rPr>
              <w:lastRenderedPageBreak/>
              <w:t>shows increased self</w:t>
            </w:r>
            <w:r w:rsidRPr="00AA7AE9">
              <w:rPr>
                <w:rFonts w:asciiTheme="minorBidi" w:hAnsiTheme="minorBidi" w:cstheme="minorBidi"/>
                <w:sz w:val="22"/>
                <w:szCs w:val="22"/>
              </w:rPr>
              <w:noBreakHyphen/>
              <w:t xml:space="preserve">confidence, independence and motivation through Forest School participation. </w:t>
            </w:r>
            <w:hyperlink r:id="rId7" w:tgtFrame="_blank" w:history="1">
              <w:r w:rsidRPr="00AA7AE9">
                <w:rPr>
                  <w:rStyle w:val="max-w-15ch"/>
                  <w:rFonts w:asciiTheme="minorBidi" w:hAnsiTheme="minorBidi" w:cstheme="minorBidi"/>
                  <w:color w:val="0000FF"/>
                  <w:sz w:val="22"/>
                  <w:szCs w:val="22"/>
                  <w:u w:val="single"/>
                </w:rPr>
                <w:t>Forest Research</w:t>
              </w:r>
            </w:hyperlink>
          </w:p>
          <w:p w14:paraId="26F0759C" w14:textId="33BD47FD" w:rsidR="00AA7AE9" w:rsidRPr="00AA7AE9" w:rsidRDefault="00AA7AE9" w:rsidP="00AA7AE9">
            <w:pPr>
              <w:pStyle w:val="NormalWeb"/>
              <w:rPr>
                <w:rFonts w:asciiTheme="minorBidi" w:hAnsiTheme="minorBidi" w:cstheme="minorBidi"/>
                <w:sz w:val="22"/>
                <w:szCs w:val="22"/>
              </w:rPr>
            </w:pPr>
            <w:r w:rsidRPr="00AA7AE9">
              <w:rPr>
                <w:rStyle w:val="Strong"/>
                <w:rFonts w:asciiTheme="minorBidi" w:hAnsiTheme="minorBidi" w:cstheme="minorBidi"/>
                <w:sz w:val="22"/>
                <w:szCs w:val="22"/>
              </w:rPr>
              <w:t>Forest School and Mental Wellbeing (Canterbury Christ Church University)</w:t>
            </w:r>
            <w:r w:rsidRPr="00AA7AE9">
              <w:rPr>
                <w:rFonts w:asciiTheme="minorBidi" w:hAnsiTheme="minorBidi" w:cstheme="minorBidi"/>
                <w:sz w:val="22"/>
                <w:szCs w:val="22"/>
              </w:rPr>
              <w:t xml:space="preserve"> – finds significant improvements in resilience and wellbeing following Forest School programmes. </w:t>
            </w:r>
            <w:hyperlink r:id="rId8" w:tgtFrame="_blank" w:history="1">
              <w:r w:rsidRPr="00AA7AE9">
                <w:rPr>
                  <w:rStyle w:val="max-w-15ch"/>
                  <w:rFonts w:asciiTheme="minorBidi" w:hAnsiTheme="minorBidi" w:cstheme="minorBidi"/>
                  <w:color w:val="0000FF"/>
                  <w:sz w:val="22"/>
                  <w:szCs w:val="22"/>
                  <w:u w:val="single"/>
                </w:rPr>
                <w:t>Canterbury Repository</w:t>
              </w:r>
            </w:hyperlink>
          </w:p>
          <w:p w14:paraId="71DCB883" w14:textId="6D26C123" w:rsidR="00AA7AE9" w:rsidRPr="00AA7AE9" w:rsidRDefault="00AA7AE9" w:rsidP="00AA7AE9">
            <w:pPr>
              <w:pStyle w:val="NormalWeb"/>
              <w:rPr>
                <w:rFonts w:asciiTheme="minorBidi" w:hAnsiTheme="minorBidi" w:cstheme="minorBidi"/>
                <w:sz w:val="22"/>
                <w:szCs w:val="22"/>
              </w:rPr>
            </w:pPr>
            <w:r w:rsidRPr="00AA7AE9">
              <w:rPr>
                <w:rStyle w:val="Strong"/>
                <w:rFonts w:asciiTheme="minorBidi" w:hAnsiTheme="minorBidi" w:cstheme="minorBidi"/>
                <w:sz w:val="22"/>
                <w:szCs w:val="22"/>
              </w:rPr>
              <w:t>Forest School Improves Mental Health and Well</w:t>
            </w:r>
            <w:r w:rsidRPr="00AA7AE9">
              <w:rPr>
                <w:rStyle w:val="Strong"/>
                <w:rFonts w:asciiTheme="minorBidi" w:hAnsiTheme="minorBidi" w:cstheme="minorBidi"/>
                <w:sz w:val="22"/>
                <w:szCs w:val="22"/>
              </w:rPr>
              <w:noBreakHyphen/>
              <w:t>Being (Children &amp; Nature Network)</w:t>
            </w:r>
            <w:r w:rsidRPr="00AA7AE9">
              <w:rPr>
                <w:rFonts w:asciiTheme="minorBidi" w:hAnsiTheme="minorBidi" w:cstheme="minorBidi"/>
                <w:sz w:val="22"/>
                <w:szCs w:val="22"/>
              </w:rPr>
              <w:t xml:space="preserve"> – provides qualitative evidence of improved emotional regulation, confidence, resilience and social interactions among participants. </w:t>
            </w:r>
            <w:hyperlink r:id="rId9" w:tgtFrame="_blank" w:history="1">
              <w:r w:rsidRPr="00AA7AE9">
                <w:rPr>
                  <w:rStyle w:val="max-w-15ch"/>
                  <w:rFonts w:asciiTheme="minorBidi" w:hAnsiTheme="minorBidi" w:cstheme="minorBidi"/>
                  <w:color w:val="0000FF"/>
                  <w:sz w:val="22"/>
                  <w:szCs w:val="22"/>
                  <w:u w:val="single"/>
                </w:rPr>
                <w:t>Children &amp; Nature Network</w:t>
              </w:r>
            </w:hyperlink>
          </w:p>
          <w:p w14:paraId="2A7D551B" w14:textId="77777777" w:rsidR="00E66558" w:rsidRPr="00AA7AE9" w:rsidRDefault="00E66558" w:rsidP="00C31636">
            <w:pPr>
              <w:pStyle w:val="TableRowCentered"/>
              <w:ind w:left="0" w:right="0"/>
              <w:jc w:val="left"/>
              <w:rPr>
                <w:rFonts w:asciiTheme="minorBidi" w:hAnsiTheme="minorBidi" w:cstheme="minorBidi"/>
                <w:sz w:val="22"/>
                <w:szCs w:val="22"/>
              </w:rPr>
            </w:pP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0852C9E8" w:rsidR="00E66558" w:rsidRDefault="00AA7AE9" w:rsidP="00C31636">
            <w:pPr>
              <w:pStyle w:val="TableRowCentered"/>
              <w:ind w:left="0" w:right="0"/>
              <w:jc w:val="left"/>
              <w:rPr>
                <w:sz w:val="22"/>
              </w:rPr>
            </w:pPr>
            <w:r>
              <w:rPr>
                <w:sz w:val="22"/>
              </w:rPr>
              <w:lastRenderedPageBreak/>
              <w:t>1</w:t>
            </w:r>
            <w:r w:rsidR="006E1AA2">
              <w:rPr>
                <w:sz w:val="22"/>
              </w:rPr>
              <w:t>, 3, 5</w:t>
            </w:r>
          </w:p>
        </w:tc>
      </w:tr>
      <w:tr w:rsidR="00AA7AE9" w14:paraId="2A7D5521" w14:textId="77777777" w:rsidTr="002C334F">
        <w:trPr>
          <w:trHeight w:val="1619"/>
        </w:trPr>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6FFBA" w14:textId="6795409F" w:rsidR="00AA7AE9" w:rsidRPr="00FB13CB" w:rsidRDefault="00AA7AE9" w:rsidP="00FB13CB">
            <w:pPr>
              <w:pStyle w:val="TableRow"/>
              <w:rPr>
                <w:i/>
                <w:iCs/>
                <w:color w:val="000000" w:themeColor="text1"/>
                <w:sz w:val="22"/>
                <w:szCs w:val="22"/>
              </w:rPr>
            </w:pPr>
            <w:r w:rsidRPr="00FB13CB">
              <w:rPr>
                <w:i/>
                <w:iCs/>
                <w:color w:val="000000" w:themeColor="text1"/>
                <w:sz w:val="22"/>
                <w:szCs w:val="22"/>
              </w:rPr>
              <w:t>Continue to update, resource and upskill staff in the chosen DfE accredited phonics scheme (Power Literacy / STEPS).</w:t>
            </w:r>
          </w:p>
          <w:p w14:paraId="2A7D551E" w14:textId="77777777" w:rsidR="00AA7AE9" w:rsidRPr="00FB13CB" w:rsidRDefault="00AA7AE9" w:rsidP="00FB13CB">
            <w:pPr>
              <w:pStyle w:val="TableRow"/>
              <w:ind w:left="0" w:right="0"/>
              <w:rPr>
                <w:i/>
                <w:color w:val="000000" w:themeColor="text1"/>
                <w:sz w:val="22"/>
              </w:rPr>
            </w:pPr>
          </w:p>
        </w:tc>
        <w:tc>
          <w:tcPr>
            <w:tcW w:w="6496"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34D3F0A" w14:textId="77777777" w:rsidR="00AA7AE9" w:rsidRPr="00FB13CB" w:rsidRDefault="00AA7AE9" w:rsidP="00FB13CB">
            <w:pPr>
              <w:pStyle w:val="TableRowCentered"/>
              <w:jc w:val="left"/>
              <w:rPr>
                <w:rFonts w:cs="Arial"/>
                <w:color w:val="000000" w:themeColor="text1"/>
                <w:sz w:val="22"/>
                <w:szCs w:val="22"/>
                <w:shd w:val="clear" w:color="auto" w:fill="FFFFFF"/>
              </w:rPr>
            </w:pPr>
            <w:r w:rsidRPr="00FB13CB">
              <w:rPr>
                <w:rFonts w:cs="Arial"/>
                <w:color w:val="000000" w:themeColor="text1"/>
                <w:sz w:val="22"/>
                <w:szCs w:val="22"/>
                <w:shd w:val="clear" w:color="auto" w:fill="FFFFFF"/>
              </w:rPr>
              <w:t>EEF - Phonics is an approach to teaching some aspects of literacy, by developing pupils’ knowledge and understanding of the relationship between written symbols and sounds. This involves the skills of hearing, identifying and using the patterns of sounds or phonemes to read written language. The aim is to systematically teach pupils the relationship between these sounds and the written spelling patterns, or graphemes, which represent them. Phonics emphasises the skills of decoding new words by sounding them out and combining or ​</w:t>
            </w:r>
            <w:r w:rsidRPr="00FB13CB">
              <w:rPr>
                <w:rStyle w:val="pull-single"/>
                <w:rFonts w:cs="Arial"/>
                <w:color w:val="000000" w:themeColor="text1"/>
                <w:sz w:val="22"/>
                <w:szCs w:val="22"/>
                <w:bdr w:val="single" w:sz="2" w:space="0" w:color="EEEEEE" w:frame="1"/>
                <w:shd w:val="clear" w:color="auto" w:fill="FFFFFF"/>
              </w:rPr>
              <w:t>‘</w:t>
            </w:r>
            <w:r w:rsidRPr="00FB13CB">
              <w:rPr>
                <w:rFonts w:cs="Arial"/>
                <w:color w:val="000000" w:themeColor="text1"/>
                <w:sz w:val="22"/>
                <w:szCs w:val="22"/>
                <w:shd w:val="clear" w:color="auto" w:fill="FFFFFF"/>
              </w:rPr>
              <w:t>blending’ the sound-spelling patterns.</w:t>
            </w:r>
          </w:p>
          <w:p w14:paraId="65782C83" w14:textId="77777777" w:rsidR="00AA7AE9" w:rsidRPr="00FB13CB" w:rsidRDefault="00AA7AE9" w:rsidP="00FB13CB">
            <w:pPr>
              <w:pStyle w:val="TableRowCentered"/>
              <w:jc w:val="left"/>
              <w:rPr>
                <w:rFonts w:cs="Arial"/>
                <w:color w:val="000000" w:themeColor="text1"/>
                <w:sz w:val="22"/>
                <w:szCs w:val="22"/>
                <w:shd w:val="clear" w:color="auto" w:fill="FFFFFF"/>
              </w:rPr>
            </w:pPr>
          </w:p>
          <w:p w14:paraId="4E507B2D" w14:textId="77777777" w:rsidR="00AA7AE9" w:rsidRPr="00FB13CB" w:rsidRDefault="00AA7AE9" w:rsidP="00FB13CB">
            <w:pPr>
              <w:pStyle w:val="TableRowCentered"/>
              <w:jc w:val="left"/>
              <w:rPr>
                <w:rFonts w:cs="Arial"/>
                <w:b/>
                <w:bCs/>
                <w:color w:val="000000" w:themeColor="text1"/>
                <w:sz w:val="22"/>
                <w:szCs w:val="22"/>
              </w:rPr>
            </w:pPr>
            <w:hyperlink r:id="rId10" w:history="1">
              <w:r w:rsidRPr="00FB13CB">
                <w:rPr>
                  <w:rStyle w:val="Hyperlink"/>
                  <w:rFonts w:cs="Arial"/>
                  <w:b/>
                  <w:bCs/>
                  <w:color w:val="000000" w:themeColor="text1"/>
                  <w:sz w:val="22"/>
                  <w:szCs w:val="22"/>
                </w:rPr>
                <w:t>EEF Teaching and Learning Toolkit: Phonics - additional 5 months progress</w:t>
              </w:r>
            </w:hyperlink>
          </w:p>
          <w:p w14:paraId="2A7D551F" w14:textId="77777777" w:rsidR="00AA7AE9" w:rsidRPr="00FB13CB" w:rsidRDefault="00AA7AE9" w:rsidP="00FB13CB">
            <w:pPr>
              <w:pStyle w:val="TableRowCentered"/>
              <w:ind w:left="0" w:right="0"/>
              <w:jc w:val="left"/>
              <w:rPr>
                <w:color w:val="000000" w:themeColor="text1"/>
                <w:sz w:val="22"/>
              </w:rPr>
            </w:pPr>
          </w:p>
        </w:tc>
        <w:tc>
          <w:tcPr>
            <w:tcW w:w="125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A7D5520" w14:textId="45C68E5D" w:rsidR="00AA7AE9" w:rsidRDefault="00AA7AE9" w:rsidP="00FB13CB">
            <w:pPr>
              <w:pStyle w:val="TableRowCentered"/>
              <w:ind w:left="0" w:right="0"/>
              <w:jc w:val="left"/>
              <w:rPr>
                <w:sz w:val="22"/>
              </w:rPr>
            </w:pPr>
            <w:r>
              <w:rPr>
                <w:sz w:val="22"/>
              </w:rPr>
              <w:t>2</w:t>
            </w:r>
          </w:p>
        </w:tc>
      </w:tr>
      <w:tr w:rsidR="00AA7AE9" w14:paraId="02F74B72" w14:textId="77777777" w:rsidTr="002C334F">
        <w:trPr>
          <w:trHeight w:val="1618"/>
        </w:trPr>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26843" w14:textId="35827CEC" w:rsidR="00AA7AE9" w:rsidRPr="00FB13CB" w:rsidRDefault="00AA7AE9" w:rsidP="00FB13CB">
            <w:pPr>
              <w:pStyle w:val="TableRow"/>
              <w:rPr>
                <w:i/>
                <w:iCs/>
                <w:color w:val="000000" w:themeColor="text1"/>
                <w:sz w:val="22"/>
                <w:szCs w:val="22"/>
              </w:rPr>
            </w:pPr>
            <w:r w:rsidRPr="00AA7AE9">
              <w:rPr>
                <w:i/>
                <w:color w:val="000000" w:themeColor="text1"/>
                <w:sz w:val="22"/>
              </w:rPr>
              <w:t>Deliver high quality CPD for staff in phonics, including those delivering targeted interventions</w:t>
            </w:r>
          </w:p>
        </w:tc>
        <w:tc>
          <w:tcPr>
            <w:tcW w:w="6496"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B36A7C3" w14:textId="77777777" w:rsidR="00AA7AE9" w:rsidRPr="00FB13CB" w:rsidRDefault="00AA7AE9" w:rsidP="00FB13CB">
            <w:pPr>
              <w:pStyle w:val="TableRowCentered"/>
              <w:jc w:val="left"/>
              <w:rPr>
                <w:rFonts w:cs="Arial"/>
                <w:color w:val="000000" w:themeColor="text1"/>
                <w:sz w:val="22"/>
                <w:szCs w:val="22"/>
                <w:shd w:val="clear" w:color="auto" w:fill="FFFFFF"/>
              </w:rPr>
            </w:pPr>
          </w:p>
        </w:tc>
        <w:tc>
          <w:tcPr>
            <w:tcW w:w="125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ACE9A04" w14:textId="77777777" w:rsidR="00AA7AE9" w:rsidRDefault="00AA7AE9" w:rsidP="00FB13CB">
            <w:pPr>
              <w:pStyle w:val="TableRowCentered"/>
              <w:ind w:left="0" w:right="0"/>
              <w:jc w:val="left"/>
              <w:rPr>
                <w:sz w:val="22"/>
              </w:rPr>
            </w:pPr>
          </w:p>
        </w:tc>
      </w:tr>
      <w:tr w:rsidR="00554737" w14:paraId="3731E7D4" w14:textId="77777777" w:rsidTr="002C334F">
        <w:trPr>
          <w:trHeight w:val="346"/>
        </w:trPr>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1364F" w14:textId="77777777" w:rsidR="00554737" w:rsidRPr="00554737" w:rsidRDefault="00554737" w:rsidP="00554737">
            <w:pPr>
              <w:pStyle w:val="TableRow"/>
              <w:rPr>
                <w:i/>
                <w:color w:val="000000" w:themeColor="text1"/>
                <w:sz w:val="22"/>
              </w:rPr>
            </w:pPr>
            <w:r w:rsidRPr="00554737">
              <w:rPr>
                <w:i/>
                <w:color w:val="000000" w:themeColor="text1"/>
                <w:sz w:val="22"/>
              </w:rPr>
              <w:t>Embed Reading comprehension through daily lessons (CPD)</w:t>
            </w:r>
          </w:p>
          <w:p w14:paraId="539E457C" w14:textId="77777777" w:rsidR="00554737" w:rsidRPr="00554737" w:rsidRDefault="00554737" w:rsidP="00FB13CB">
            <w:pPr>
              <w:pStyle w:val="TableRow"/>
              <w:rPr>
                <w:i/>
                <w:iCs/>
                <w:color w:val="000000" w:themeColor="text1"/>
                <w:sz w:val="22"/>
                <w:szCs w:val="22"/>
              </w:rPr>
            </w:pPr>
          </w:p>
        </w:tc>
        <w:tc>
          <w:tcPr>
            <w:tcW w:w="6496"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091AA35B" w14:textId="77777777" w:rsidR="00554737" w:rsidRPr="001B6BBF" w:rsidRDefault="00554737" w:rsidP="00554737">
            <w:pPr>
              <w:pStyle w:val="TableRowCentered"/>
              <w:jc w:val="left"/>
              <w:rPr>
                <w:rFonts w:cs="Arial"/>
                <w:color w:val="000000" w:themeColor="text1"/>
                <w:sz w:val="22"/>
                <w:szCs w:val="22"/>
                <w:shd w:val="clear" w:color="auto" w:fill="FFFFFF"/>
              </w:rPr>
            </w:pPr>
            <w:r w:rsidRPr="001B6BBF">
              <w:rPr>
                <w:rFonts w:cs="Arial"/>
                <w:color w:val="000000" w:themeColor="text1"/>
                <w:sz w:val="22"/>
                <w:szCs w:val="22"/>
              </w:rPr>
              <w:t xml:space="preserve">EEF - </w:t>
            </w:r>
            <w:r w:rsidRPr="001B6BBF">
              <w:rPr>
                <w:rFonts w:cs="Arial"/>
                <w:color w:val="000000" w:themeColor="text1"/>
                <w:sz w:val="22"/>
                <w:szCs w:val="22"/>
                <w:shd w:val="clear" w:color="auto" w:fill="FFFFFF"/>
              </w:rPr>
              <w:t>The average impact of reading comprehension strategies is an additional six months’ progress over the course of a year. Successful reading comprehension approaches allow activities to be carefully tailored to pupils’ reading capabilities, and involve activities and texts that provide an effective, but not overwhelming, challenge.</w:t>
            </w:r>
          </w:p>
          <w:p w14:paraId="5DF981B2" w14:textId="77777777" w:rsidR="00554737" w:rsidRDefault="00554737" w:rsidP="00554737">
            <w:pPr>
              <w:pStyle w:val="TableRowCentered"/>
              <w:jc w:val="left"/>
              <w:rPr>
                <w:color w:val="E36C0A" w:themeColor="accent6" w:themeShade="BF"/>
                <w:sz w:val="22"/>
              </w:rPr>
            </w:pPr>
          </w:p>
          <w:p w14:paraId="79DC8BB9" w14:textId="47F166E0" w:rsidR="00554737" w:rsidRPr="00FB13CB" w:rsidRDefault="00554737" w:rsidP="00554737">
            <w:pPr>
              <w:pStyle w:val="TableRowCentered"/>
              <w:jc w:val="left"/>
              <w:rPr>
                <w:rFonts w:cs="Arial"/>
                <w:color w:val="000000" w:themeColor="text1"/>
                <w:sz w:val="22"/>
                <w:szCs w:val="22"/>
                <w:shd w:val="clear" w:color="auto" w:fill="FFFFFF"/>
              </w:rPr>
            </w:pPr>
            <w:hyperlink r:id="rId11" w:history="1">
              <w:r w:rsidRPr="000B1A04">
                <w:rPr>
                  <w:rStyle w:val="Hyperlink"/>
                  <w:b/>
                  <w:bCs/>
                  <w:sz w:val="22"/>
                </w:rPr>
                <w:t>EEF Teaching and Learning Toolkit: Reading Comprehension Strategies – additional 6 months progress</w:t>
              </w:r>
            </w:hyperlink>
          </w:p>
        </w:tc>
        <w:tc>
          <w:tcPr>
            <w:tcW w:w="125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CE924B5" w14:textId="34670CF9" w:rsidR="00554737" w:rsidRDefault="002C334F" w:rsidP="00FB13CB">
            <w:pPr>
              <w:pStyle w:val="TableRowCentered"/>
              <w:ind w:left="0" w:right="0"/>
              <w:jc w:val="left"/>
              <w:rPr>
                <w:sz w:val="22"/>
              </w:rPr>
            </w:pPr>
            <w:r>
              <w:rPr>
                <w:sz w:val="22"/>
              </w:rPr>
              <w:t>2</w:t>
            </w:r>
          </w:p>
        </w:tc>
      </w:tr>
      <w:tr w:rsidR="00554737" w14:paraId="0AACB999" w14:textId="77777777" w:rsidTr="002C334F">
        <w:trPr>
          <w:trHeight w:val="345"/>
        </w:trPr>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5E899" w14:textId="3A040C0E" w:rsidR="00554737" w:rsidRPr="00554737" w:rsidRDefault="00554737" w:rsidP="00554737">
            <w:pPr>
              <w:pStyle w:val="TableRow"/>
              <w:rPr>
                <w:i/>
                <w:color w:val="000000" w:themeColor="text1"/>
                <w:sz w:val="22"/>
              </w:rPr>
            </w:pPr>
            <w:r w:rsidRPr="00554737">
              <w:rPr>
                <w:i/>
                <w:color w:val="000000" w:themeColor="text1"/>
                <w:sz w:val="22"/>
              </w:rPr>
              <w:t>Deliver high quality CPD in Reading linked Power Literacy scheme, with a focus on teaching and learning principles</w:t>
            </w:r>
          </w:p>
        </w:tc>
        <w:tc>
          <w:tcPr>
            <w:tcW w:w="6496"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F7915A3" w14:textId="77777777" w:rsidR="00554737" w:rsidRPr="00FB13CB" w:rsidRDefault="00554737" w:rsidP="00FB13CB">
            <w:pPr>
              <w:pStyle w:val="TableRowCentered"/>
              <w:jc w:val="left"/>
              <w:rPr>
                <w:rFonts w:cs="Arial"/>
                <w:color w:val="000000" w:themeColor="text1"/>
                <w:sz w:val="22"/>
                <w:szCs w:val="22"/>
                <w:shd w:val="clear" w:color="auto" w:fill="FFFFFF"/>
              </w:rPr>
            </w:pPr>
          </w:p>
        </w:tc>
        <w:tc>
          <w:tcPr>
            <w:tcW w:w="125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4340092C" w14:textId="77777777" w:rsidR="00554737" w:rsidRDefault="00554737" w:rsidP="00FB13CB">
            <w:pPr>
              <w:pStyle w:val="TableRowCentered"/>
              <w:ind w:left="0" w:right="0"/>
              <w:jc w:val="left"/>
              <w:rPr>
                <w:sz w:val="22"/>
              </w:rPr>
            </w:pPr>
          </w:p>
        </w:tc>
      </w:tr>
      <w:tr w:rsidR="002C334F" w14:paraId="3060C1A2" w14:textId="77777777" w:rsidTr="002C334F">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E675C" w14:textId="3CAC4865" w:rsidR="002C334F" w:rsidRPr="002C334F" w:rsidRDefault="002C334F" w:rsidP="006E1AA2">
            <w:pPr>
              <w:pStyle w:val="TableRow"/>
              <w:rPr>
                <w:i/>
                <w:color w:val="000000" w:themeColor="text1"/>
                <w:sz w:val="22"/>
              </w:rPr>
            </w:pPr>
            <w:r w:rsidRPr="002C334F">
              <w:rPr>
                <w:i/>
                <w:color w:val="000000" w:themeColor="text1"/>
                <w:sz w:val="22"/>
              </w:rPr>
              <w:lastRenderedPageBreak/>
              <w:t>Deliver high quality CPD in Mathematics linked to rapid recall</w:t>
            </w:r>
          </w:p>
          <w:p w14:paraId="06018DD2" w14:textId="77777777" w:rsidR="002C334F" w:rsidRPr="002C334F" w:rsidRDefault="002C334F" w:rsidP="006E1AA2">
            <w:pPr>
              <w:pStyle w:val="TableRow"/>
              <w:rPr>
                <w:i/>
                <w:iCs/>
                <w:color w:val="000000" w:themeColor="text1"/>
                <w:sz w:val="22"/>
                <w:szCs w:val="22"/>
              </w:rPr>
            </w:pPr>
          </w:p>
        </w:tc>
        <w:tc>
          <w:tcPr>
            <w:tcW w:w="6496"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EADCE74" w14:textId="77777777" w:rsidR="002C334F" w:rsidRDefault="002C334F" w:rsidP="006E1AA2">
            <w:pPr>
              <w:pStyle w:val="TableRowCentered"/>
              <w:jc w:val="left"/>
            </w:pPr>
            <w:r>
              <w:t xml:space="preserve">EEF research highlights the importance of developing pupils’ fluency and rapid recall of number facts, as this reduces cognitive load and enables pupils to engage more effectively with higher-level mathematical reasoning and problem-solving. The EEF </w:t>
            </w:r>
            <w:r>
              <w:rPr>
                <w:rStyle w:val="Emphasis"/>
              </w:rPr>
              <w:t>Improving Mathematics</w:t>
            </w:r>
            <w:r>
              <w:t xml:space="preserve"> guidance emphasises that regular, structured practice in mental calculation and recall of basic facts (such as number bonds and multiplication tables) is a key component of effective maths teaching. EEF-funded evaluations of fluency-focused programmes show that approaches which strengthen mental calculation strategies and memory can lead to measurable improvements in maths attainment, with some studies indicating the equivalent of up to three months’ additional progress. These findings support the use of targeted, systematic recall practice as part of quality first teaching and intervention for disadvantaged pupils.</w:t>
            </w:r>
          </w:p>
          <w:p w14:paraId="0CD60326" w14:textId="77777777" w:rsidR="002C334F" w:rsidRDefault="002C334F" w:rsidP="003D248F">
            <w:pPr>
              <w:pStyle w:val="TableRowCentered"/>
              <w:jc w:val="left"/>
              <w:rPr>
                <w:rFonts w:cs="Arial"/>
                <w:color w:val="000000" w:themeColor="text1"/>
                <w:sz w:val="22"/>
                <w:szCs w:val="22"/>
                <w:shd w:val="clear" w:color="auto" w:fill="FFFFFF"/>
              </w:rPr>
            </w:pPr>
            <w:hyperlink r:id="rId12" w:history="1">
              <w:r w:rsidRPr="00557349">
                <w:rPr>
                  <w:rStyle w:val="Hyperlink"/>
                  <w:rFonts w:cs="Arial"/>
                  <w:sz w:val="22"/>
                  <w:szCs w:val="22"/>
                  <w:shd w:val="clear" w:color="auto" w:fill="FFFFFF"/>
                </w:rPr>
                <w:t>https://d2tic4wvo1iusb.cloudfront.net/eef-guidance-reports/early-maths/EEF_Maths_EY_KS1_Guidance_Report.pdf?v=1635355217</w:t>
              </w:r>
            </w:hyperlink>
          </w:p>
          <w:p w14:paraId="04AA71E2" w14:textId="630D6549" w:rsidR="002C334F" w:rsidRPr="00FB13CB" w:rsidRDefault="002C334F" w:rsidP="006E1AA2">
            <w:pPr>
              <w:pStyle w:val="TableRowCentered"/>
              <w:jc w:val="left"/>
              <w:rPr>
                <w:rFonts w:cs="Arial"/>
                <w:color w:val="000000" w:themeColor="text1"/>
                <w:sz w:val="22"/>
                <w:szCs w:val="22"/>
                <w:shd w:val="clear" w:color="auto" w:fill="FFFFFF"/>
              </w:rPr>
            </w:pPr>
          </w:p>
        </w:tc>
        <w:tc>
          <w:tcPr>
            <w:tcW w:w="125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9DF8E3F" w14:textId="29F5635F" w:rsidR="002C334F" w:rsidRDefault="002C334F" w:rsidP="006E1AA2">
            <w:pPr>
              <w:pStyle w:val="TableRowCentered"/>
              <w:ind w:left="0" w:right="0"/>
              <w:jc w:val="left"/>
              <w:rPr>
                <w:sz w:val="22"/>
              </w:rPr>
            </w:pPr>
            <w:r>
              <w:rPr>
                <w:sz w:val="22"/>
              </w:rPr>
              <w:t>2</w:t>
            </w:r>
          </w:p>
        </w:tc>
      </w:tr>
      <w:tr w:rsidR="002C334F" w14:paraId="2FD2AF94" w14:textId="77777777" w:rsidTr="002C334F">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024E5" w14:textId="77777777" w:rsidR="002C334F" w:rsidRPr="002C334F" w:rsidRDefault="002C334F" w:rsidP="006E1AA2">
            <w:pPr>
              <w:pStyle w:val="TableRow"/>
              <w:rPr>
                <w:i/>
                <w:color w:val="000000" w:themeColor="text1"/>
                <w:sz w:val="22"/>
              </w:rPr>
            </w:pPr>
            <w:r w:rsidRPr="002C334F">
              <w:rPr>
                <w:i/>
                <w:color w:val="000000" w:themeColor="text1"/>
                <w:sz w:val="22"/>
              </w:rPr>
              <w:t xml:space="preserve">Purchase mathematics resources to support the learning and teaching within mathematics </w:t>
            </w:r>
          </w:p>
          <w:p w14:paraId="3F597A6B" w14:textId="77777777" w:rsidR="002C334F" w:rsidRPr="002C334F" w:rsidRDefault="002C334F" w:rsidP="006E1AA2">
            <w:pPr>
              <w:pStyle w:val="TableRow"/>
              <w:rPr>
                <w:i/>
                <w:iCs/>
                <w:color w:val="000000" w:themeColor="text1"/>
                <w:sz w:val="22"/>
                <w:szCs w:val="22"/>
              </w:rPr>
            </w:pPr>
          </w:p>
        </w:tc>
        <w:tc>
          <w:tcPr>
            <w:tcW w:w="6496"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6BA2306" w14:textId="77777777" w:rsidR="002C334F" w:rsidRPr="00FB13CB" w:rsidRDefault="002C334F" w:rsidP="006E1AA2">
            <w:pPr>
              <w:pStyle w:val="TableRowCentered"/>
              <w:jc w:val="left"/>
              <w:rPr>
                <w:rFonts w:cs="Arial"/>
                <w:color w:val="000000" w:themeColor="text1"/>
                <w:sz w:val="22"/>
                <w:szCs w:val="22"/>
                <w:shd w:val="clear" w:color="auto" w:fill="FFFFFF"/>
              </w:rPr>
            </w:pPr>
          </w:p>
        </w:tc>
        <w:tc>
          <w:tcPr>
            <w:tcW w:w="125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DDE9A50" w14:textId="77777777" w:rsidR="002C334F" w:rsidRDefault="002C334F" w:rsidP="006E1AA2">
            <w:pPr>
              <w:pStyle w:val="TableRowCentered"/>
              <w:ind w:left="0" w:right="0"/>
              <w:jc w:val="left"/>
              <w:rPr>
                <w:sz w:val="22"/>
              </w:rPr>
            </w:pP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629790BF" w:rsidR="00E66558" w:rsidRDefault="009D71E8">
      <w:r>
        <w:t>Budgeted cost: £</w:t>
      </w:r>
      <w:r w:rsidR="002C334F">
        <w:t>13,400</w:t>
      </w:r>
    </w:p>
    <w:tbl>
      <w:tblPr>
        <w:tblW w:w="5000" w:type="pct"/>
        <w:tblCellMar>
          <w:left w:w="10" w:type="dxa"/>
          <w:right w:w="10" w:type="dxa"/>
        </w:tblCellMar>
        <w:tblLook w:val="04A0" w:firstRow="1" w:lastRow="0" w:firstColumn="1" w:lastColumn="0" w:noHBand="0" w:noVBand="1"/>
      </w:tblPr>
      <w:tblGrid>
        <w:gridCol w:w="1692"/>
        <w:gridCol w:w="6261"/>
        <w:gridCol w:w="1533"/>
      </w:tblGrid>
      <w:tr w:rsidR="00E66558" w14:paraId="2A7D5528" w14:textId="77777777" w:rsidTr="00511033">
        <w:tc>
          <w:tcPr>
            <w:tcW w:w="169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626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153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rsidTr="00511033">
        <w:tc>
          <w:tcPr>
            <w:tcW w:w="1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7C5C2E81" w:rsidR="00E66558" w:rsidRDefault="004E3084" w:rsidP="00C31636">
            <w:pPr>
              <w:pStyle w:val="TableRow"/>
              <w:ind w:left="0" w:right="0"/>
            </w:pPr>
            <w:r>
              <w:t xml:space="preserve">Deputy Head teacher </w:t>
            </w:r>
            <w:r w:rsidR="00576BE6">
              <w:t xml:space="preserve">and SENDCo </w:t>
            </w:r>
            <w:r>
              <w:t>to facilitate coaching and mentoring for staff and small group intervention</w:t>
            </w:r>
            <w:r w:rsidR="00576BE6">
              <w:t>s</w:t>
            </w:r>
            <w:r>
              <w:t xml:space="preserve"> for targeted groups. </w:t>
            </w:r>
          </w:p>
        </w:tc>
        <w:tc>
          <w:tcPr>
            <w:tcW w:w="6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9FD95" w14:textId="51677C95" w:rsidR="00511033" w:rsidRPr="002C334F" w:rsidRDefault="00511033" w:rsidP="00C31636">
            <w:pPr>
              <w:pStyle w:val="TableRowCentered"/>
              <w:ind w:left="0" w:right="0"/>
              <w:jc w:val="left"/>
              <w:rPr>
                <w:rFonts w:cs="Arial"/>
                <w:color w:val="000000" w:themeColor="text1"/>
                <w:szCs w:val="24"/>
              </w:rPr>
            </w:pPr>
            <w:r w:rsidRPr="002C334F">
              <w:rPr>
                <w:rFonts w:ascii="Roboto" w:hAnsi="Roboto"/>
                <w:color w:val="263238"/>
                <w:szCs w:val="24"/>
                <w:shd w:val="clear" w:color="auto" w:fill="FFFFFF"/>
              </w:rPr>
              <w:t>Some pupils may require additional support alongside high-quality teaching in order to make good progress. The evidence indicates that small group and one</w:t>
            </w:r>
            <w:r w:rsidR="002C334F">
              <w:rPr>
                <w:rFonts w:ascii="Roboto" w:hAnsi="Roboto"/>
                <w:color w:val="263238"/>
                <w:szCs w:val="24"/>
                <w:shd w:val="clear" w:color="auto" w:fill="FFFFFF"/>
              </w:rPr>
              <w:t>-</w:t>
            </w:r>
            <w:r w:rsidRPr="002C334F">
              <w:rPr>
                <w:rFonts w:ascii="Roboto" w:hAnsi="Roboto"/>
                <w:color w:val="263238"/>
                <w:szCs w:val="24"/>
                <w:shd w:val="clear" w:color="auto" w:fill="FFFFFF"/>
              </w:rPr>
              <w:t>to</w:t>
            </w:r>
            <w:r w:rsidR="002C334F">
              <w:rPr>
                <w:rFonts w:ascii="Roboto" w:hAnsi="Roboto"/>
                <w:color w:val="263238"/>
                <w:szCs w:val="24"/>
                <w:shd w:val="clear" w:color="auto" w:fill="FFFFFF"/>
              </w:rPr>
              <w:t>-</w:t>
            </w:r>
            <w:r w:rsidRPr="002C334F">
              <w:rPr>
                <w:rFonts w:ascii="Roboto" w:hAnsi="Roboto"/>
                <w:color w:val="263238"/>
                <w:szCs w:val="24"/>
                <w:shd w:val="clear" w:color="auto" w:fill="FFFFFF"/>
              </w:rPr>
              <w:t>one interventions can be a powerful tool for supporting these pupils when they are used carefully.</w:t>
            </w:r>
          </w:p>
          <w:p w14:paraId="2CE7D19A" w14:textId="3F6CFE71" w:rsidR="00511033" w:rsidRPr="002C334F" w:rsidRDefault="00511033" w:rsidP="00C31636">
            <w:pPr>
              <w:pStyle w:val="TableRowCentered"/>
              <w:ind w:left="0" w:right="0"/>
              <w:jc w:val="left"/>
              <w:rPr>
                <w:rFonts w:cs="Arial"/>
                <w:color w:val="000000" w:themeColor="text1"/>
                <w:szCs w:val="24"/>
              </w:rPr>
            </w:pPr>
            <w:r w:rsidRPr="002C334F">
              <w:rPr>
                <w:rFonts w:cs="Arial"/>
                <w:color w:val="000000" w:themeColor="text1"/>
                <w:szCs w:val="24"/>
              </w:rPr>
              <w:t>Evidence shows that small group tuition is effective and, as a rule of thumb, the smaller the group the better. Some studies suggest that greater feedback from the teacher, more sustained the engagement in smaller groups, or work which is more closely matched to learners’ needs explains this impact.</w:t>
            </w:r>
          </w:p>
          <w:p w14:paraId="2737DD7A" w14:textId="3E387E08" w:rsidR="00511033" w:rsidRPr="002C334F" w:rsidRDefault="00511033" w:rsidP="00C31636">
            <w:pPr>
              <w:pStyle w:val="TableRowCentered"/>
              <w:ind w:left="0" w:right="0"/>
              <w:jc w:val="left"/>
              <w:rPr>
                <w:color w:val="000000" w:themeColor="text1"/>
                <w:szCs w:val="24"/>
              </w:rPr>
            </w:pPr>
            <w:r w:rsidRPr="002C334F">
              <w:rPr>
                <w:color w:val="000000" w:themeColor="text1"/>
                <w:szCs w:val="24"/>
              </w:rPr>
              <w:t>https://educationendowmentfoundation.org.uk/support-for-schools/school-planning-support/2-targeted-academic-support?utm_source=chatgpt.com</w:t>
            </w:r>
          </w:p>
          <w:p w14:paraId="6A8EEAB1" w14:textId="0A48FB92" w:rsidR="00576BE6" w:rsidRPr="002C334F" w:rsidRDefault="00576BE6" w:rsidP="00C31636">
            <w:pPr>
              <w:pStyle w:val="TableRowCentered"/>
              <w:ind w:left="0" w:right="0"/>
              <w:jc w:val="left"/>
              <w:rPr>
                <w:szCs w:val="24"/>
              </w:rPr>
            </w:pPr>
            <w:hyperlink r:id="rId13" w:tgtFrame="_new" w:history="1">
              <w:r w:rsidRPr="002C334F">
                <w:rPr>
                  <w:rStyle w:val="Hyperlink"/>
                  <w:szCs w:val="24"/>
                </w:rPr>
                <w:t>https://educationendowmentfoundation.org.uk/education-evidence/teaching-learning-toolkit/small-group-tuition</w:t>
              </w:r>
            </w:hyperlink>
          </w:p>
          <w:p w14:paraId="2A7D552A" w14:textId="1386DE1F" w:rsidR="00576BE6" w:rsidRDefault="00576BE6" w:rsidP="00C31636">
            <w:pPr>
              <w:pStyle w:val="TableRowCentered"/>
              <w:ind w:left="0" w:right="0"/>
              <w:jc w:val="left"/>
              <w:rPr>
                <w:sz w:val="22"/>
              </w:rPr>
            </w:pPr>
            <w:r w:rsidRPr="00576BE6">
              <w:rPr>
                <w:sz w:val="22"/>
              </w:rPr>
              <w:lastRenderedPageBreak/>
              <w:t>https://educationendowmentfoundation.org.uk/education-evidence/teaching-learning-toolkit/teaching-assistant-interventions</w:t>
            </w: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4CCD7FE8" w:rsidR="00E66558" w:rsidRDefault="002C334F" w:rsidP="00C31636">
            <w:pPr>
              <w:pStyle w:val="TableRowCentered"/>
              <w:ind w:left="0" w:right="0"/>
              <w:jc w:val="left"/>
              <w:rPr>
                <w:sz w:val="22"/>
              </w:rPr>
            </w:pPr>
            <w:r>
              <w:rPr>
                <w:sz w:val="22"/>
              </w:rPr>
              <w:lastRenderedPageBreak/>
              <w:t>1,2,3,4,5</w:t>
            </w:r>
          </w:p>
        </w:tc>
      </w:tr>
      <w:tr w:rsidR="00E66558" w14:paraId="2A7D5530" w14:textId="77777777" w:rsidTr="00511033">
        <w:tc>
          <w:tcPr>
            <w:tcW w:w="1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D" w14:textId="1E554844" w:rsidR="00E66558" w:rsidRPr="00944C60" w:rsidRDefault="00944C60" w:rsidP="00C31636">
            <w:pPr>
              <w:pStyle w:val="TableRow"/>
              <w:ind w:left="0" w:right="0"/>
              <w:rPr>
                <w:iCs/>
                <w:sz w:val="22"/>
              </w:rPr>
            </w:pPr>
            <w:r>
              <w:rPr>
                <w:iCs/>
                <w:sz w:val="22"/>
              </w:rPr>
              <w:t xml:space="preserve">TA trained to deliver weekly Lego Therapy sessions </w:t>
            </w:r>
          </w:p>
        </w:tc>
        <w:tc>
          <w:tcPr>
            <w:tcW w:w="6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E" w14:textId="5C908F6A" w:rsidR="00E66558" w:rsidRDefault="00944C60" w:rsidP="00C31636">
            <w:pPr>
              <w:pStyle w:val="TableRowCentered"/>
              <w:ind w:left="0" w:right="0"/>
              <w:jc w:val="left"/>
              <w:rPr>
                <w:sz w:val="22"/>
              </w:rPr>
            </w:pPr>
            <w:r>
              <w:t xml:space="preserve">LEGO® Therapy is used widely in UK schools to develop social communication skills (e.g., sharing, turn-taking, problem-solving) in autistic pupils and those with social-emotional needs, and is recommended in SEMH intervention toolkits. </w:t>
            </w:r>
            <w:hyperlink r:id="rId14" w:tgtFrame="_blank" w:history="1">
              <w:r>
                <w:rPr>
                  <w:rStyle w:val="max-w-15ch"/>
                  <w:color w:val="0000FF"/>
                  <w:u w:val="single"/>
                </w:rPr>
                <w:t>National Autistic Society</w:t>
              </w:r>
              <w:r>
                <w:rPr>
                  <w:rStyle w:val="-me-1"/>
                  <w:color w:val="0000FF"/>
                  <w:u w:val="single"/>
                </w:rPr>
                <w:t>+1</w:t>
              </w:r>
            </w:hyperlink>
            <w:r>
              <w:br/>
            </w:r>
            <w:r>
              <w:rPr>
                <w:rStyle w:val="Emphasis"/>
              </w:rPr>
              <w:t>Autism Alliance – Professional Practice guidance on using LEGO® Therapy:</w:t>
            </w:r>
            <w:r>
              <w:t xml:space="preserve"> </w:t>
            </w:r>
            <w:hyperlink r:id="rId15" w:tgtFrame="_new" w:history="1">
              <w:r>
                <w:rPr>
                  <w:rStyle w:val="Hyperlink"/>
                </w:rPr>
                <w:t>https://www.autism.org.uk/advice-and-guidance/professional-practice/lego-pilot</w:t>
              </w:r>
            </w:hyperlink>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2B28D45E" w:rsidR="00E66558" w:rsidRDefault="002C334F" w:rsidP="00C31636">
            <w:pPr>
              <w:pStyle w:val="TableRowCentered"/>
              <w:ind w:left="0" w:right="0"/>
              <w:jc w:val="left"/>
              <w:rPr>
                <w:sz w:val="22"/>
              </w:rPr>
            </w:pPr>
            <w:r>
              <w:rPr>
                <w:sz w:val="22"/>
              </w:rPr>
              <w:t>1,2,3,4,5</w:t>
            </w:r>
          </w:p>
        </w:tc>
      </w:tr>
      <w:tr w:rsidR="00511033" w14:paraId="1C63DE76" w14:textId="77777777" w:rsidTr="00511033">
        <w:tc>
          <w:tcPr>
            <w:tcW w:w="1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6229E" w14:textId="0B4F5547" w:rsidR="00511033" w:rsidRDefault="00511033" w:rsidP="00511033">
            <w:pPr>
              <w:pStyle w:val="TableRow"/>
              <w:ind w:left="0" w:right="0"/>
              <w:rPr>
                <w:iCs/>
                <w:sz w:val="22"/>
              </w:rPr>
            </w:pPr>
          </w:p>
        </w:tc>
        <w:tc>
          <w:tcPr>
            <w:tcW w:w="6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AE6EF" w14:textId="55977616" w:rsidR="00511033" w:rsidRDefault="00511033" w:rsidP="00511033">
            <w:pPr>
              <w:pStyle w:val="TableRowCentered"/>
              <w:ind w:left="0" w:right="0"/>
              <w:jc w:val="left"/>
            </w:pP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A2902" w14:textId="2A490F18" w:rsidR="00511033" w:rsidRDefault="002C334F" w:rsidP="00511033">
            <w:pPr>
              <w:pStyle w:val="TableRowCentered"/>
              <w:ind w:left="0" w:right="0"/>
              <w:jc w:val="left"/>
              <w:rPr>
                <w:sz w:val="22"/>
              </w:rPr>
            </w:pPr>
            <w:r>
              <w:rPr>
                <w:sz w:val="22"/>
              </w:rPr>
              <w:t>1,2,3,4,5</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11FE5740" w:rsidR="00E66558" w:rsidRPr="002C334F" w:rsidRDefault="009D71E8">
      <w:pPr>
        <w:spacing w:before="240" w:after="120"/>
      </w:pPr>
      <w:r>
        <w:t>Budgeted cost: £</w:t>
      </w:r>
      <w:r w:rsidR="002C334F">
        <w:t>7,875</w:t>
      </w:r>
    </w:p>
    <w:tbl>
      <w:tblPr>
        <w:tblW w:w="5000" w:type="pct"/>
        <w:tblCellMar>
          <w:left w:w="10" w:type="dxa"/>
          <w:right w:w="10" w:type="dxa"/>
        </w:tblCellMar>
        <w:tblLook w:val="04A0" w:firstRow="1" w:lastRow="0" w:firstColumn="1" w:lastColumn="0" w:noHBand="0" w:noVBand="1"/>
      </w:tblPr>
      <w:tblGrid>
        <w:gridCol w:w="1628"/>
        <w:gridCol w:w="6261"/>
        <w:gridCol w:w="1597"/>
      </w:tblGrid>
      <w:tr w:rsidR="00E66558" w14:paraId="2A7D5537" w14:textId="77777777" w:rsidTr="00511033">
        <w:tc>
          <w:tcPr>
            <w:tcW w:w="162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626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159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rsidTr="00511033">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7842B059" w:rsidR="00E66558" w:rsidRPr="00511033" w:rsidRDefault="00511033" w:rsidP="00C31636">
            <w:pPr>
              <w:pStyle w:val="TableRow"/>
              <w:ind w:left="0" w:right="0"/>
              <w:rPr>
                <w:color w:val="000000" w:themeColor="text1"/>
              </w:rPr>
            </w:pPr>
            <w:r w:rsidRPr="00511033">
              <w:rPr>
                <w:color w:val="000000" w:themeColor="text1"/>
                <w:sz w:val="22"/>
                <w:szCs w:val="22"/>
              </w:rPr>
              <w:t>Structured program of rewards and celebrations to raise the profile of attendance.</w:t>
            </w:r>
          </w:p>
        </w:tc>
        <w:tc>
          <w:tcPr>
            <w:tcW w:w="6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4B73C" w14:textId="77777777" w:rsidR="00511033" w:rsidRPr="00511033" w:rsidRDefault="00511033" w:rsidP="00511033">
            <w:pPr>
              <w:suppressAutoHyphens w:val="0"/>
              <w:autoSpaceDN/>
              <w:spacing w:after="0" w:line="240" w:lineRule="auto"/>
              <w:rPr>
                <w:rFonts w:ascii="Times New Roman" w:hAnsi="Times New Roman"/>
                <w:color w:val="000000" w:themeColor="text1"/>
                <w:sz w:val="22"/>
                <w:szCs w:val="22"/>
              </w:rPr>
            </w:pPr>
            <w:r w:rsidRPr="00511033">
              <w:rPr>
                <w:rFonts w:cs="Arial"/>
                <w:color w:val="000000" w:themeColor="text1"/>
                <w:sz w:val="22"/>
                <w:szCs w:val="22"/>
                <w:shd w:val="clear" w:color="auto" w:fill="FFFFFF"/>
              </w:rPr>
              <w:t>DfE - Pupils with higher attainment at KS2 and KS4 had lower levels of absence over the key stage compared to those with lower attainment. </w:t>
            </w:r>
          </w:p>
          <w:p w14:paraId="078A7E9A" w14:textId="77777777" w:rsidR="00511033" w:rsidRDefault="00511033" w:rsidP="00511033">
            <w:pPr>
              <w:shd w:val="clear" w:color="auto" w:fill="FFFFFF"/>
              <w:suppressAutoHyphens w:val="0"/>
              <w:autoSpaceDN/>
              <w:spacing w:after="160" w:line="240" w:lineRule="auto"/>
              <w:rPr>
                <w:rFonts w:ascii="Calibri" w:hAnsi="Calibri" w:cs="Calibri"/>
                <w:color w:val="222222"/>
                <w:sz w:val="22"/>
                <w:szCs w:val="22"/>
              </w:rPr>
            </w:pPr>
            <w:r w:rsidRPr="00511033">
              <w:rPr>
                <w:color w:val="222222"/>
              </w:rPr>
              <w:t>In 2024-25, pupils with an Education, Health and Care Plan (EHCP) had an overall absence rate of 13.7%, compared with 6.0% for pupils with no identified SEN. Persistent absence (missing 10%+ of sessions) was 36.9% for pupils with an EHCP versus 16.5% for pupils with no identified SEN.</w:t>
            </w:r>
            <w:r>
              <w:rPr>
                <w:color w:val="222222"/>
              </w:rPr>
              <w:t> </w:t>
            </w:r>
            <w:hyperlink r:id="rId16" w:tgtFrame="_blank" w:history="1">
              <w:r>
                <w:rPr>
                  <w:rStyle w:val="Hyperlink"/>
                </w:rPr>
                <w:t>Explore Education Statistics</w:t>
              </w:r>
            </w:hyperlink>
          </w:p>
          <w:p w14:paraId="46A3D3DE" w14:textId="77777777" w:rsidR="00511033" w:rsidRDefault="00511033" w:rsidP="00511033">
            <w:pPr>
              <w:shd w:val="clear" w:color="auto" w:fill="FFFFFF"/>
              <w:suppressAutoHyphens w:val="0"/>
              <w:autoSpaceDN/>
              <w:spacing w:after="160" w:line="240" w:lineRule="auto"/>
              <w:rPr>
                <w:rFonts w:ascii="Calibri" w:hAnsi="Calibri" w:cs="Calibri"/>
                <w:color w:val="222222"/>
                <w:sz w:val="22"/>
                <w:szCs w:val="22"/>
              </w:rPr>
            </w:pPr>
            <w:r>
              <w:rPr>
                <w:color w:val="222222"/>
              </w:rPr>
              <w:t>Centre for Young Lives highlights that </w:t>
            </w:r>
            <w:r w:rsidRPr="00511033">
              <w:rPr>
                <w:color w:val="222222"/>
              </w:rPr>
              <w:t>persistent non-attendance is much higher among SEN pupils</w:t>
            </w:r>
            <w:r>
              <w:rPr>
                <w:color w:val="222222"/>
              </w:rPr>
              <w:t> (e.g., ~37.6% for those with EHCPs vs ~18.6% without SEN). </w:t>
            </w:r>
            <w:hyperlink r:id="rId17" w:tgtFrame="_blank" w:history="1">
              <w:r>
                <w:rPr>
                  <w:rStyle w:val="Hyperlink"/>
                </w:rPr>
                <w:t>Centre for Young Lives</w:t>
              </w:r>
            </w:hyperlink>
          </w:p>
          <w:p w14:paraId="1603D287" w14:textId="77777777" w:rsidR="00511033" w:rsidRDefault="00511033" w:rsidP="00511033">
            <w:pPr>
              <w:shd w:val="clear" w:color="auto" w:fill="FFFFFF"/>
              <w:suppressAutoHyphens w:val="0"/>
              <w:autoSpaceDN/>
              <w:spacing w:after="160" w:line="240" w:lineRule="auto"/>
              <w:rPr>
                <w:rFonts w:ascii="Calibri" w:hAnsi="Calibri" w:cs="Calibri"/>
                <w:color w:val="222222"/>
                <w:sz w:val="22"/>
                <w:szCs w:val="22"/>
              </w:rPr>
            </w:pPr>
            <w:r>
              <w:rPr>
                <w:color w:val="222222"/>
              </w:rPr>
              <w:t>Analyses tracking absence data show children with certain types of SEN (e.g., profound and multiple learning difficulties or social, emotional and mental health needs) have especially high rates of persistent absence. </w:t>
            </w:r>
            <w:hyperlink r:id="rId18" w:tgtFrame="_blank" w:history="1">
              <w:r>
                <w:rPr>
                  <w:rStyle w:val="Hyperlink"/>
                </w:rPr>
                <w:t>The Centre for Social Justice</w:t>
              </w:r>
            </w:hyperlink>
          </w:p>
          <w:p w14:paraId="2A7D5539" w14:textId="77777777" w:rsidR="00E66558" w:rsidRPr="00511033" w:rsidRDefault="00E66558" w:rsidP="00C31636">
            <w:pPr>
              <w:pStyle w:val="TableRowCentered"/>
              <w:ind w:left="0" w:right="0"/>
              <w:jc w:val="left"/>
              <w:rPr>
                <w:color w:val="000000" w:themeColor="text1"/>
                <w:sz w:val="22"/>
              </w:rPr>
            </w:pPr>
          </w:p>
        </w:tc>
        <w:tc>
          <w:tcPr>
            <w:tcW w:w="1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356ED103" w:rsidR="00E66558" w:rsidRDefault="002C334F" w:rsidP="00C31636">
            <w:pPr>
              <w:pStyle w:val="TableRowCentered"/>
              <w:ind w:left="0" w:right="0"/>
              <w:jc w:val="left"/>
              <w:rPr>
                <w:sz w:val="22"/>
              </w:rPr>
            </w:pPr>
            <w:r>
              <w:rPr>
                <w:sz w:val="22"/>
              </w:rPr>
              <w:t>1,</w:t>
            </w:r>
            <w:r w:rsidR="00511033">
              <w:rPr>
                <w:sz w:val="22"/>
              </w:rPr>
              <w:t>4</w:t>
            </w:r>
          </w:p>
        </w:tc>
      </w:tr>
      <w:tr w:rsidR="00511033" w14:paraId="5783BF78" w14:textId="77777777" w:rsidTr="00511033">
        <w:tc>
          <w:tcPr>
            <w:tcW w:w="1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4A301" w14:textId="7F6B9929" w:rsidR="002C334F" w:rsidRPr="002C334F" w:rsidRDefault="00511033" w:rsidP="002C334F">
            <w:pPr>
              <w:pStyle w:val="TableRow"/>
              <w:ind w:left="0" w:right="0"/>
              <w:rPr>
                <w:rFonts w:asciiTheme="minorBidi" w:hAnsiTheme="minorBidi" w:cstheme="minorBidi"/>
                <w:color w:val="000000" w:themeColor="text1"/>
                <w:sz w:val="22"/>
                <w:szCs w:val="22"/>
              </w:rPr>
            </w:pPr>
            <w:r w:rsidRPr="001C6C9F">
              <w:rPr>
                <w:rFonts w:asciiTheme="minorBidi" w:hAnsiTheme="minorBidi" w:cstheme="minorBidi"/>
                <w:color w:val="000000" w:themeColor="text1"/>
                <w:sz w:val="22"/>
                <w:szCs w:val="22"/>
              </w:rPr>
              <w:t xml:space="preserve">A LTP of enrichment </w:t>
            </w:r>
            <w:r>
              <w:rPr>
                <w:rFonts w:asciiTheme="minorBidi" w:hAnsiTheme="minorBidi" w:cstheme="minorBidi"/>
                <w:color w:val="000000" w:themeColor="text1"/>
                <w:sz w:val="22"/>
                <w:szCs w:val="22"/>
              </w:rPr>
              <w:t>activitie</w:t>
            </w:r>
            <w:r w:rsidRPr="001C6C9F">
              <w:rPr>
                <w:rFonts w:asciiTheme="minorBidi" w:hAnsiTheme="minorBidi" w:cstheme="minorBidi"/>
                <w:color w:val="000000" w:themeColor="text1"/>
                <w:sz w:val="22"/>
                <w:szCs w:val="22"/>
              </w:rPr>
              <w:t xml:space="preserve">s </w:t>
            </w:r>
            <w:r>
              <w:rPr>
                <w:rFonts w:asciiTheme="minorBidi" w:hAnsiTheme="minorBidi" w:cstheme="minorBidi"/>
                <w:color w:val="000000" w:themeColor="text1"/>
                <w:sz w:val="22"/>
                <w:szCs w:val="22"/>
              </w:rPr>
              <w:t xml:space="preserve">/ visits </w:t>
            </w:r>
            <w:r w:rsidRPr="001C6C9F">
              <w:rPr>
                <w:rFonts w:asciiTheme="minorBidi" w:hAnsiTheme="minorBidi" w:cstheme="minorBidi"/>
                <w:color w:val="000000" w:themeColor="text1"/>
                <w:sz w:val="22"/>
                <w:szCs w:val="22"/>
              </w:rPr>
              <w:t>in place to provide rea</w:t>
            </w:r>
            <w:r>
              <w:rPr>
                <w:rFonts w:asciiTheme="minorBidi" w:hAnsiTheme="minorBidi" w:cstheme="minorBidi"/>
                <w:color w:val="000000" w:themeColor="text1"/>
                <w:sz w:val="22"/>
                <w:szCs w:val="22"/>
              </w:rPr>
              <w:t xml:space="preserve">l </w:t>
            </w:r>
            <w:r w:rsidRPr="001C6C9F">
              <w:rPr>
                <w:rFonts w:asciiTheme="minorBidi" w:hAnsiTheme="minorBidi" w:cstheme="minorBidi"/>
                <w:color w:val="000000" w:themeColor="text1"/>
                <w:sz w:val="22"/>
                <w:szCs w:val="22"/>
              </w:rPr>
              <w:t xml:space="preserve">life </w:t>
            </w:r>
            <w:r w:rsidRPr="001C6C9F">
              <w:rPr>
                <w:rFonts w:asciiTheme="minorBidi" w:hAnsiTheme="minorBidi" w:cstheme="minorBidi"/>
                <w:color w:val="000000" w:themeColor="text1"/>
                <w:sz w:val="22"/>
                <w:szCs w:val="22"/>
              </w:rPr>
              <w:lastRenderedPageBreak/>
              <w:t>experiences for pupils learning</w:t>
            </w:r>
            <w:r w:rsidR="002C334F">
              <w:rPr>
                <w:rFonts w:asciiTheme="minorBidi" w:hAnsiTheme="minorBidi" w:cstheme="minorBidi"/>
                <w:color w:val="000000" w:themeColor="text1"/>
                <w:sz w:val="22"/>
                <w:szCs w:val="22"/>
              </w:rPr>
              <w:t xml:space="preserve"> </w:t>
            </w:r>
            <w:proofErr w:type="gramStart"/>
            <w:r w:rsidR="002C334F">
              <w:rPr>
                <w:rFonts w:asciiTheme="minorBidi" w:hAnsiTheme="minorBidi" w:cstheme="minorBidi"/>
                <w:color w:val="000000" w:themeColor="text1"/>
                <w:sz w:val="22"/>
                <w:szCs w:val="22"/>
              </w:rPr>
              <w:t xml:space="preserve">and </w:t>
            </w:r>
            <w:r w:rsidR="002C334F" w:rsidRPr="001C6C9F">
              <w:rPr>
                <w:rFonts w:asciiTheme="minorBidi" w:hAnsiTheme="minorBidi" w:cstheme="minorBidi"/>
                <w:color w:val="000000" w:themeColor="text1"/>
                <w:sz w:val="22"/>
                <w:szCs w:val="22"/>
              </w:rPr>
              <w:t xml:space="preserve"> support</w:t>
            </w:r>
            <w:proofErr w:type="gramEnd"/>
            <w:r w:rsidR="002C334F" w:rsidRPr="001C6C9F">
              <w:rPr>
                <w:rFonts w:asciiTheme="minorBidi" w:hAnsiTheme="minorBidi" w:cstheme="minorBidi"/>
                <w:color w:val="000000" w:themeColor="text1"/>
                <w:sz w:val="22"/>
                <w:szCs w:val="22"/>
              </w:rPr>
              <w:t xml:space="preserve"> the curriculum teaching</w:t>
            </w:r>
            <w:r w:rsidR="002C334F">
              <w:rPr>
                <w:rFonts w:asciiTheme="minorBidi" w:hAnsiTheme="minorBidi" w:cstheme="minorBidi"/>
                <w:color w:val="000000" w:themeColor="text1"/>
                <w:sz w:val="22"/>
                <w:szCs w:val="22"/>
              </w:rPr>
              <w:t xml:space="preserve"> and EHCP outcomes</w:t>
            </w:r>
            <w:r w:rsidR="002C334F" w:rsidRPr="001C6C9F">
              <w:rPr>
                <w:rFonts w:asciiTheme="minorBidi" w:hAnsiTheme="minorBidi" w:cstheme="minorBidi"/>
                <w:color w:val="000000" w:themeColor="text1"/>
                <w:sz w:val="22"/>
                <w:szCs w:val="22"/>
              </w:rPr>
              <w:t>.</w:t>
            </w:r>
          </w:p>
        </w:tc>
        <w:tc>
          <w:tcPr>
            <w:tcW w:w="6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D3C0E" w14:textId="403D4202" w:rsidR="00511033" w:rsidRDefault="00511033" w:rsidP="00511033">
            <w:pPr>
              <w:pStyle w:val="TableRowCentered"/>
              <w:ind w:left="0" w:right="0"/>
              <w:jc w:val="left"/>
            </w:pPr>
            <w:r>
              <w:lastRenderedPageBreak/>
              <w:t>Embedding an enrichment curriculum</w:t>
            </w:r>
            <w:r w:rsidR="002C334F">
              <w:t xml:space="preserve"> to provide real life experiences for pupils’ learning</w:t>
            </w:r>
            <w:r>
              <w:t xml:space="preserve"> that includes targeted visits, visitors and high-quality resources supports SEN pupils’ learning because it enhances engagement, motivation and real-world application of knowledge. Evidence shows that experiential learning and </w:t>
            </w:r>
            <w:r>
              <w:lastRenderedPageBreak/>
              <w:t>enrichment activities improve confidence, social interaction and behaviour for learning—especially for pupils with SEMH and ASD—by providing context-rich, multisensory experiences that deepen understanding and support access to the wider curriculum.</w:t>
            </w:r>
          </w:p>
          <w:p w14:paraId="3BFE1F60" w14:textId="6123556E" w:rsidR="00511033" w:rsidRDefault="00511033" w:rsidP="00511033">
            <w:pPr>
              <w:pStyle w:val="TableRowCentered"/>
              <w:ind w:left="0" w:right="0"/>
              <w:jc w:val="left"/>
            </w:pPr>
            <w:r>
              <w:t>(Evidence from DfE/National Trust-Field Studies Council/ EEF)</w:t>
            </w:r>
          </w:p>
        </w:tc>
        <w:tc>
          <w:tcPr>
            <w:tcW w:w="15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680B1" w14:textId="1CFCAC44" w:rsidR="00511033" w:rsidRDefault="002C334F" w:rsidP="00511033">
            <w:pPr>
              <w:pStyle w:val="TableRowCentered"/>
              <w:ind w:left="0" w:right="0"/>
              <w:jc w:val="left"/>
              <w:rPr>
                <w:sz w:val="22"/>
              </w:rPr>
            </w:pPr>
            <w:r>
              <w:rPr>
                <w:sz w:val="22"/>
              </w:rPr>
              <w:lastRenderedPageBreak/>
              <w:t>1,2,3,4,5</w:t>
            </w:r>
          </w:p>
        </w:tc>
      </w:tr>
    </w:tbl>
    <w:p w14:paraId="2A7D5540" w14:textId="77777777" w:rsidR="00E66558" w:rsidRDefault="00E66558">
      <w:pPr>
        <w:spacing w:before="240" w:after="0"/>
        <w:rPr>
          <w:b/>
          <w:bCs/>
          <w:color w:val="104F75"/>
          <w:sz w:val="28"/>
          <w:szCs w:val="28"/>
        </w:rPr>
      </w:pPr>
    </w:p>
    <w:p w14:paraId="2A7D5541" w14:textId="48E82997" w:rsidR="00E66558" w:rsidRDefault="009D71E8" w:rsidP="00120AB1">
      <w:r>
        <w:rPr>
          <w:b/>
          <w:bCs/>
          <w:color w:val="104F75"/>
          <w:sz w:val="28"/>
          <w:szCs w:val="28"/>
        </w:rPr>
        <w:t>Total budgeted cost: £</w:t>
      </w:r>
      <w:r w:rsidR="00AD52CB">
        <w:rPr>
          <w:b/>
          <w:bCs/>
          <w:color w:val="104F75"/>
          <w:sz w:val="28"/>
          <w:szCs w:val="28"/>
        </w:rPr>
        <w:t>70,005</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337681" w14:textId="7B55EEA7" w:rsidR="00511033" w:rsidRPr="00C77FEF" w:rsidRDefault="00511033" w:rsidP="009B7433">
            <w:pPr>
              <w:rPr>
                <w:i/>
                <w:iCs/>
                <w:color w:val="auto"/>
              </w:rPr>
            </w:pPr>
            <w:r w:rsidRPr="00B50D5D">
              <w:rPr>
                <w:i/>
                <w:iCs/>
                <w:noProof/>
                <w:color w:val="auto"/>
              </w:rPr>
              <w:drawing>
                <wp:inline distT="0" distB="0" distL="0" distR="0" wp14:anchorId="2AB17AEC" wp14:editId="75C58C1E">
                  <wp:extent cx="5422900" cy="5016500"/>
                  <wp:effectExtent l="0" t="0" r="0" b="0"/>
                  <wp:docPr id="1072475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475192" name=""/>
                          <pic:cNvPicPr/>
                        </pic:nvPicPr>
                        <pic:blipFill>
                          <a:blip r:embed="rId19"/>
                          <a:stretch>
                            <a:fillRect/>
                          </a:stretch>
                        </pic:blipFill>
                        <pic:spPr>
                          <a:xfrm>
                            <a:off x="0" y="0"/>
                            <a:ext cx="5422900" cy="5016500"/>
                          </a:xfrm>
                          <a:prstGeom prst="rect">
                            <a:avLst/>
                          </a:prstGeom>
                        </pic:spPr>
                      </pic:pic>
                    </a:graphicData>
                  </a:graphic>
                </wp:inline>
              </w:drawing>
            </w:r>
          </w:p>
          <w:p w14:paraId="4731C8FA" w14:textId="77777777" w:rsidR="00996CFE" w:rsidRDefault="00996CFE" w:rsidP="00996CFE">
            <w:pPr>
              <w:pStyle w:val="Default"/>
              <w:rPr>
                <w:sz w:val="23"/>
                <w:szCs w:val="23"/>
              </w:rPr>
            </w:pPr>
          </w:p>
          <w:p w14:paraId="6DD8BBB6" w14:textId="5BA20AFD" w:rsidR="00996CFE" w:rsidRDefault="00996CFE" w:rsidP="00996CFE">
            <w:pPr>
              <w:pStyle w:val="Default"/>
              <w:rPr>
                <w:sz w:val="23"/>
                <w:szCs w:val="23"/>
              </w:rPr>
            </w:pPr>
            <w:r>
              <w:rPr>
                <w:sz w:val="23"/>
                <w:szCs w:val="23"/>
              </w:rPr>
              <w:t>Attendance 2024 – 2025:</w:t>
            </w:r>
          </w:p>
          <w:p w14:paraId="130DBB8D" w14:textId="77777777" w:rsidR="00996CFE" w:rsidRDefault="00996CFE" w:rsidP="00996CFE">
            <w:pPr>
              <w:pStyle w:val="Default"/>
              <w:rPr>
                <w:sz w:val="23"/>
                <w:szCs w:val="23"/>
              </w:rPr>
            </w:pPr>
          </w:p>
          <w:p w14:paraId="181CCE95" w14:textId="61E48F5A" w:rsidR="00996CFE" w:rsidRDefault="00996CFE" w:rsidP="00996CFE">
            <w:pPr>
              <w:pStyle w:val="Default"/>
              <w:rPr>
                <w:sz w:val="23"/>
                <w:szCs w:val="23"/>
              </w:rPr>
            </w:pPr>
            <w:r>
              <w:rPr>
                <w:sz w:val="23"/>
                <w:szCs w:val="23"/>
              </w:rPr>
              <w:t>Whole school – 93.84%</w:t>
            </w:r>
          </w:p>
          <w:p w14:paraId="281357B8" w14:textId="71ECBA90" w:rsidR="00996CFE" w:rsidRPr="00996CFE" w:rsidRDefault="00996CFE" w:rsidP="00996CFE">
            <w:pPr>
              <w:pStyle w:val="Default"/>
              <w:rPr>
                <w:sz w:val="23"/>
                <w:szCs w:val="23"/>
              </w:rPr>
            </w:pPr>
            <w:r>
              <w:rPr>
                <w:sz w:val="23"/>
                <w:szCs w:val="23"/>
              </w:rPr>
              <w:t xml:space="preserve">PP pupils – 93.21% </w:t>
            </w:r>
          </w:p>
          <w:p w14:paraId="2EA6237D" w14:textId="77777777" w:rsidR="00996CFE" w:rsidRDefault="00996CFE" w:rsidP="00996CFE">
            <w:pPr>
              <w:pStyle w:val="Default"/>
              <w:rPr>
                <w:color w:val="0D0D0D"/>
                <w:sz w:val="22"/>
                <w:szCs w:val="22"/>
              </w:rPr>
            </w:pPr>
          </w:p>
          <w:p w14:paraId="5023926C" w14:textId="51837F8D" w:rsidR="0064167B" w:rsidRPr="002F4C6F" w:rsidRDefault="0064167B" w:rsidP="00996CFE">
            <w:pPr>
              <w:pStyle w:val="Default"/>
              <w:numPr>
                <w:ilvl w:val="0"/>
                <w:numId w:val="1"/>
              </w:numPr>
              <w:rPr>
                <w:i/>
                <w:iCs/>
                <w:lang w:eastAsia="en-US"/>
              </w:rPr>
            </w:pPr>
          </w:p>
        </w:tc>
      </w:tr>
    </w:tbl>
    <w:p w14:paraId="2A7D5549" w14:textId="5DF4288B" w:rsidR="00E66558" w:rsidRPr="007C5754" w:rsidRDefault="006D6372" w:rsidP="007C5754">
      <w:pPr>
        <w:pStyle w:val="Heading2"/>
      </w:pPr>
      <w:r>
        <w:t>E</w:t>
      </w:r>
      <w:r w:rsidR="009D71E8">
        <w:t xml:space="preserve">xternally provided </w:t>
      </w:r>
      <w:r w:rsidR="009D71E8" w:rsidRPr="00781713">
        <w:t>programmes</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75732949" w:rsidR="00E66558" w:rsidRDefault="00511033" w:rsidP="00F54FCB">
            <w:pPr>
              <w:pStyle w:val="TableRow"/>
              <w:ind w:left="0" w:right="0"/>
            </w:pPr>
            <w:r>
              <w:t>Power Literacy</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04E61A5C" w:rsidR="00E66558" w:rsidRDefault="00511033" w:rsidP="00F54FCB">
            <w:pPr>
              <w:pStyle w:val="TableRowCentered"/>
              <w:ind w:left="0" w:right="0"/>
              <w:jc w:val="left"/>
            </w:pPr>
            <w:r>
              <w:t>McKie Mastery</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48B8A817" w:rsidR="00E66558" w:rsidRDefault="00511033" w:rsidP="00F54FCB">
            <w:pPr>
              <w:pStyle w:val="TableRow"/>
              <w:ind w:left="0" w:right="0"/>
            </w:pPr>
            <w:r>
              <w:t>White Rose Maths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431D2E3C" w:rsidR="00E66558" w:rsidRDefault="00511033" w:rsidP="00F54FCB">
            <w:pPr>
              <w:pStyle w:val="TableRowCentered"/>
              <w:ind w:left="0" w:right="0"/>
              <w:jc w:val="left"/>
            </w:pPr>
            <w:r>
              <w:t>White Rose Maths</w:t>
            </w: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F54FCB">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77777777" w:rsidR="00ED5108" w:rsidRDefault="00ED5108" w:rsidP="00F54FCB"/>
        </w:tc>
      </w:tr>
      <w:tr w:rsidR="00ED5108" w14:paraId="2D016C33" w14:textId="77777777" w:rsidTr="00CA4421">
        <w:tc>
          <w:tcPr>
            <w:tcW w:w="9486" w:type="dxa"/>
            <w:shd w:val="clear" w:color="auto" w:fill="CFDCE3"/>
          </w:tcPr>
          <w:p w14:paraId="3A5A15C1" w14:textId="789D6271" w:rsidR="00ED5108" w:rsidRPr="00E86F05" w:rsidRDefault="00ED5108" w:rsidP="00F54FCB">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rsidP="00F54FCB"/>
        </w:tc>
      </w:tr>
      <w:bookmarkEnd w:id="14"/>
      <w:bookmarkEnd w:id="15"/>
      <w:bookmarkEnd w:id="16"/>
    </w:tbl>
    <w:p w14:paraId="2A7D5564" w14:textId="77777777" w:rsidR="00E66558" w:rsidRDefault="00E66558"/>
    <w:sectPr w:rsidR="00E66558">
      <w:headerReference w:type="default" r:id="rId20"/>
      <w:footerReference w:type="default" r:id="rId2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F68FB" w14:textId="77777777" w:rsidR="001474D3" w:rsidRDefault="001474D3">
      <w:pPr>
        <w:spacing w:after="0" w:line="240" w:lineRule="auto"/>
      </w:pPr>
      <w:r>
        <w:separator/>
      </w:r>
    </w:p>
  </w:endnote>
  <w:endnote w:type="continuationSeparator" w:id="0">
    <w:p w14:paraId="5B0C810F" w14:textId="77777777" w:rsidR="001474D3" w:rsidRDefault="001474D3">
      <w:pPr>
        <w:spacing w:after="0" w:line="240" w:lineRule="auto"/>
      </w:pPr>
      <w:r>
        <w:continuationSeparator/>
      </w:r>
    </w:p>
  </w:endnote>
  <w:endnote w:type="continuationNotice" w:id="1">
    <w:p w14:paraId="2849392A" w14:textId="77777777" w:rsidR="001474D3" w:rsidRDefault="001474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0064C" w14:textId="77777777" w:rsidR="001474D3" w:rsidRDefault="001474D3">
      <w:pPr>
        <w:spacing w:after="0" w:line="240" w:lineRule="auto"/>
      </w:pPr>
      <w:r>
        <w:separator/>
      </w:r>
    </w:p>
  </w:footnote>
  <w:footnote w:type="continuationSeparator" w:id="0">
    <w:p w14:paraId="581BCE55" w14:textId="77777777" w:rsidR="001474D3" w:rsidRDefault="001474D3">
      <w:pPr>
        <w:spacing w:after="0" w:line="240" w:lineRule="auto"/>
      </w:pPr>
      <w:r>
        <w:continuationSeparator/>
      </w:r>
    </w:p>
  </w:footnote>
  <w:footnote w:type="continuationNotice" w:id="1">
    <w:p w14:paraId="276617B9" w14:textId="77777777" w:rsidR="001474D3" w:rsidRDefault="001474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6E84"/>
    <w:multiLevelType w:val="hybridMultilevel"/>
    <w:tmpl w:val="2A0800A2"/>
    <w:lvl w:ilvl="0" w:tplc="08090001">
      <w:start w:val="1"/>
      <w:numFmt w:val="bullet"/>
      <w:lvlText w:val=""/>
      <w:lvlJc w:val="left"/>
      <w:pPr>
        <w:ind w:left="609" w:hanging="360"/>
      </w:pPr>
      <w:rPr>
        <w:rFonts w:ascii="Symbol" w:hAnsi="Symbol" w:hint="default"/>
      </w:rPr>
    </w:lvl>
    <w:lvl w:ilvl="1" w:tplc="08090003" w:tentative="1">
      <w:start w:val="1"/>
      <w:numFmt w:val="bullet"/>
      <w:lvlText w:val="o"/>
      <w:lvlJc w:val="left"/>
      <w:pPr>
        <w:ind w:left="1329" w:hanging="360"/>
      </w:pPr>
      <w:rPr>
        <w:rFonts w:ascii="Courier New" w:hAnsi="Courier New" w:cs="Courier New" w:hint="default"/>
      </w:rPr>
    </w:lvl>
    <w:lvl w:ilvl="2" w:tplc="08090005" w:tentative="1">
      <w:start w:val="1"/>
      <w:numFmt w:val="bullet"/>
      <w:lvlText w:val=""/>
      <w:lvlJc w:val="left"/>
      <w:pPr>
        <w:ind w:left="2049" w:hanging="360"/>
      </w:pPr>
      <w:rPr>
        <w:rFonts w:ascii="Wingdings" w:hAnsi="Wingdings" w:hint="default"/>
      </w:rPr>
    </w:lvl>
    <w:lvl w:ilvl="3" w:tplc="08090001" w:tentative="1">
      <w:start w:val="1"/>
      <w:numFmt w:val="bullet"/>
      <w:lvlText w:val=""/>
      <w:lvlJc w:val="left"/>
      <w:pPr>
        <w:ind w:left="2769" w:hanging="360"/>
      </w:pPr>
      <w:rPr>
        <w:rFonts w:ascii="Symbol" w:hAnsi="Symbol" w:hint="default"/>
      </w:rPr>
    </w:lvl>
    <w:lvl w:ilvl="4" w:tplc="08090003" w:tentative="1">
      <w:start w:val="1"/>
      <w:numFmt w:val="bullet"/>
      <w:lvlText w:val="o"/>
      <w:lvlJc w:val="left"/>
      <w:pPr>
        <w:ind w:left="3489" w:hanging="360"/>
      </w:pPr>
      <w:rPr>
        <w:rFonts w:ascii="Courier New" w:hAnsi="Courier New" w:cs="Courier New" w:hint="default"/>
      </w:rPr>
    </w:lvl>
    <w:lvl w:ilvl="5" w:tplc="08090005" w:tentative="1">
      <w:start w:val="1"/>
      <w:numFmt w:val="bullet"/>
      <w:lvlText w:val=""/>
      <w:lvlJc w:val="left"/>
      <w:pPr>
        <w:ind w:left="4209" w:hanging="360"/>
      </w:pPr>
      <w:rPr>
        <w:rFonts w:ascii="Wingdings" w:hAnsi="Wingdings" w:hint="default"/>
      </w:rPr>
    </w:lvl>
    <w:lvl w:ilvl="6" w:tplc="08090001" w:tentative="1">
      <w:start w:val="1"/>
      <w:numFmt w:val="bullet"/>
      <w:lvlText w:val=""/>
      <w:lvlJc w:val="left"/>
      <w:pPr>
        <w:ind w:left="4929" w:hanging="360"/>
      </w:pPr>
      <w:rPr>
        <w:rFonts w:ascii="Symbol" w:hAnsi="Symbol" w:hint="default"/>
      </w:rPr>
    </w:lvl>
    <w:lvl w:ilvl="7" w:tplc="08090003" w:tentative="1">
      <w:start w:val="1"/>
      <w:numFmt w:val="bullet"/>
      <w:lvlText w:val="o"/>
      <w:lvlJc w:val="left"/>
      <w:pPr>
        <w:ind w:left="5649" w:hanging="360"/>
      </w:pPr>
      <w:rPr>
        <w:rFonts w:ascii="Courier New" w:hAnsi="Courier New" w:cs="Courier New" w:hint="default"/>
      </w:rPr>
    </w:lvl>
    <w:lvl w:ilvl="8" w:tplc="08090005" w:tentative="1">
      <w:start w:val="1"/>
      <w:numFmt w:val="bullet"/>
      <w:lvlText w:val=""/>
      <w:lvlJc w:val="left"/>
      <w:pPr>
        <w:ind w:left="6369" w:hanging="360"/>
      </w:pPr>
      <w:rPr>
        <w:rFonts w:ascii="Wingdings" w:hAnsi="Wingdings" w:hint="default"/>
      </w:rPr>
    </w:lvl>
  </w:abstractNum>
  <w:abstractNum w:abstractNumId="1" w15:restartNumberingAfterBreak="0">
    <w:nsid w:val="08240D78"/>
    <w:multiLevelType w:val="multilevel"/>
    <w:tmpl w:val="AD6E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60152"/>
    <w:multiLevelType w:val="multilevel"/>
    <w:tmpl w:val="8B8C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65C0ED8"/>
    <w:multiLevelType w:val="multilevel"/>
    <w:tmpl w:val="3CA4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6"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7"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9"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6942DF4"/>
    <w:multiLevelType w:val="hybridMultilevel"/>
    <w:tmpl w:val="4BD23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2"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3CDF0137"/>
    <w:multiLevelType w:val="multilevel"/>
    <w:tmpl w:val="916C4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11958"/>
    <w:multiLevelType w:val="hybridMultilevel"/>
    <w:tmpl w:val="EEB8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161562"/>
    <w:multiLevelType w:val="hybridMultilevel"/>
    <w:tmpl w:val="03B212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4" w15:restartNumberingAfterBreak="0">
    <w:nsid w:val="72BD0BB3"/>
    <w:multiLevelType w:val="multilevel"/>
    <w:tmpl w:val="FB66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9"/>
  </w:num>
  <w:num w:numId="2" w16cid:durableId="1628730595">
    <w:abstractNumId w:val="7"/>
  </w:num>
  <w:num w:numId="3" w16cid:durableId="497188144">
    <w:abstractNumId w:val="11"/>
  </w:num>
  <w:num w:numId="4" w16cid:durableId="1138914232">
    <w:abstractNumId w:val="12"/>
  </w:num>
  <w:num w:numId="5" w16cid:durableId="857932188">
    <w:abstractNumId w:val="3"/>
  </w:num>
  <w:num w:numId="6" w16cid:durableId="798501009">
    <w:abstractNumId w:val="14"/>
  </w:num>
  <w:num w:numId="7" w16cid:durableId="1210847263">
    <w:abstractNumId w:val="20"/>
  </w:num>
  <w:num w:numId="8" w16cid:durableId="982348153">
    <w:abstractNumId w:val="25"/>
  </w:num>
  <w:num w:numId="9" w16cid:durableId="1529290868">
    <w:abstractNumId w:val="22"/>
  </w:num>
  <w:num w:numId="10" w16cid:durableId="1171066271">
    <w:abstractNumId w:val="21"/>
  </w:num>
  <w:num w:numId="11" w16cid:durableId="1453552857">
    <w:abstractNumId w:val="8"/>
  </w:num>
  <w:num w:numId="12" w16cid:durableId="1812097430">
    <w:abstractNumId w:val="23"/>
  </w:num>
  <w:num w:numId="13" w16cid:durableId="42288650">
    <w:abstractNumId w:val="19"/>
  </w:num>
  <w:num w:numId="14" w16cid:durableId="1721712531">
    <w:abstractNumId w:val="15"/>
  </w:num>
  <w:num w:numId="15" w16cid:durableId="1235432793">
    <w:abstractNumId w:val="6"/>
  </w:num>
  <w:num w:numId="16" w16cid:durableId="884678859">
    <w:abstractNumId w:val="5"/>
  </w:num>
  <w:num w:numId="17" w16cid:durableId="826165421">
    <w:abstractNumId w:val="16"/>
  </w:num>
  <w:num w:numId="18" w16cid:durableId="473106148">
    <w:abstractNumId w:val="24"/>
  </w:num>
  <w:num w:numId="19" w16cid:durableId="296884660">
    <w:abstractNumId w:val="2"/>
  </w:num>
  <w:num w:numId="20" w16cid:durableId="1591351013">
    <w:abstractNumId w:val="0"/>
  </w:num>
  <w:num w:numId="21" w16cid:durableId="1538812898">
    <w:abstractNumId w:val="1"/>
  </w:num>
  <w:num w:numId="22" w16cid:durableId="1464888514">
    <w:abstractNumId w:val="10"/>
  </w:num>
  <w:num w:numId="23" w16cid:durableId="1838690075">
    <w:abstractNumId w:val="17"/>
  </w:num>
  <w:num w:numId="24" w16cid:durableId="1893544201">
    <w:abstractNumId w:val="18"/>
  </w:num>
  <w:num w:numId="25" w16cid:durableId="76364617">
    <w:abstractNumId w:val="13"/>
  </w:num>
  <w:num w:numId="26" w16cid:durableId="2141727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19D6"/>
    <w:rsid w:val="00003A45"/>
    <w:rsid w:val="00007067"/>
    <w:rsid w:val="00023729"/>
    <w:rsid w:val="000243B4"/>
    <w:rsid w:val="0002530E"/>
    <w:rsid w:val="0002710D"/>
    <w:rsid w:val="00031EA0"/>
    <w:rsid w:val="00036678"/>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409B"/>
    <w:rsid w:val="001474D3"/>
    <w:rsid w:val="00147A4B"/>
    <w:rsid w:val="0015254F"/>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B6BBF"/>
    <w:rsid w:val="001C1C51"/>
    <w:rsid w:val="001C3418"/>
    <w:rsid w:val="001C6C9F"/>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B3574"/>
    <w:rsid w:val="002B6B74"/>
    <w:rsid w:val="002C334F"/>
    <w:rsid w:val="002C6AE7"/>
    <w:rsid w:val="002D2D4B"/>
    <w:rsid w:val="002D3805"/>
    <w:rsid w:val="002E5E47"/>
    <w:rsid w:val="002E5FE5"/>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372D"/>
    <w:rsid w:val="003B588A"/>
    <w:rsid w:val="003B621D"/>
    <w:rsid w:val="003C4388"/>
    <w:rsid w:val="003C4C27"/>
    <w:rsid w:val="003C7F7B"/>
    <w:rsid w:val="003D0CD6"/>
    <w:rsid w:val="003D248F"/>
    <w:rsid w:val="003D2EAA"/>
    <w:rsid w:val="003D448C"/>
    <w:rsid w:val="003E054C"/>
    <w:rsid w:val="003E1EC5"/>
    <w:rsid w:val="003E27A0"/>
    <w:rsid w:val="003E3872"/>
    <w:rsid w:val="00400F08"/>
    <w:rsid w:val="004044AA"/>
    <w:rsid w:val="004044C8"/>
    <w:rsid w:val="00404F3F"/>
    <w:rsid w:val="00406E0F"/>
    <w:rsid w:val="00410B5D"/>
    <w:rsid w:val="00410F52"/>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6508D"/>
    <w:rsid w:val="004670A5"/>
    <w:rsid w:val="004708F2"/>
    <w:rsid w:val="004724DE"/>
    <w:rsid w:val="00476F8C"/>
    <w:rsid w:val="004770FE"/>
    <w:rsid w:val="0048157F"/>
    <w:rsid w:val="00481D56"/>
    <w:rsid w:val="00490408"/>
    <w:rsid w:val="004A4C45"/>
    <w:rsid w:val="004A55C4"/>
    <w:rsid w:val="004B0485"/>
    <w:rsid w:val="004B0ED7"/>
    <w:rsid w:val="004B1F58"/>
    <w:rsid w:val="004B428E"/>
    <w:rsid w:val="004B4D0A"/>
    <w:rsid w:val="004B4D37"/>
    <w:rsid w:val="004C42F0"/>
    <w:rsid w:val="004D50C8"/>
    <w:rsid w:val="004D6B72"/>
    <w:rsid w:val="004E1D73"/>
    <w:rsid w:val="004E3084"/>
    <w:rsid w:val="004E5450"/>
    <w:rsid w:val="004E57C3"/>
    <w:rsid w:val="004E72DD"/>
    <w:rsid w:val="004F22CD"/>
    <w:rsid w:val="005025FB"/>
    <w:rsid w:val="00503462"/>
    <w:rsid w:val="00511033"/>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54737"/>
    <w:rsid w:val="00560424"/>
    <w:rsid w:val="00562B3C"/>
    <w:rsid w:val="005646FA"/>
    <w:rsid w:val="00564E40"/>
    <w:rsid w:val="005702D2"/>
    <w:rsid w:val="00573E1D"/>
    <w:rsid w:val="005750E2"/>
    <w:rsid w:val="00576BE6"/>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40F6"/>
    <w:rsid w:val="005E73F1"/>
    <w:rsid w:val="005F07EF"/>
    <w:rsid w:val="005F16B6"/>
    <w:rsid w:val="005F2600"/>
    <w:rsid w:val="005F5224"/>
    <w:rsid w:val="005F7AA1"/>
    <w:rsid w:val="00600B2E"/>
    <w:rsid w:val="00601122"/>
    <w:rsid w:val="00602C6F"/>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1AA2"/>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05E0"/>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C5754"/>
    <w:rsid w:val="007F06E5"/>
    <w:rsid w:val="007F5B8B"/>
    <w:rsid w:val="00805BC0"/>
    <w:rsid w:val="00814FB9"/>
    <w:rsid w:val="00817E9A"/>
    <w:rsid w:val="00827786"/>
    <w:rsid w:val="00827BDA"/>
    <w:rsid w:val="00830D57"/>
    <w:rsid w:val="00831F00"/>
    <w:rsid w:val="00844E6F"/>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B72E8"/>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44C60"/>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96CFE"/>
    <w:rsid w:val="009A1DC2"/>
    <w:rsid w:val="009A5EEA"/>
    <w:rsid w:val="009B0906"/>
    <w:rsid w:val="009B38F2"/>
    <w:rsid w:val="009B7433"/>
    <w:rsid w:val="009C0914"/>
    <w:rsid w:val="009C27E5"/>
    <w:rsid w:val="009C4C4C"/>
    <w:rsid w:val="009D24A1"/>
    <w:rsid w:val="009D3891"/>
    <w:rsid w:val="009D71E8"/>
    <w:rsid w:val="009E0CF5"/>
    <w:rsid w:val="009E104B"/>
    <w:rsid w:val="009E7DE4"/>
    <w:rsid w:val="009F3BBD"/>
    <w:rsid w:val="00A022AB"/>
    <w:rsid w:val="00A063DD"/>
    <w:rsid w:val="00A112B5"/>
    <w:rsid w:val="00A14EEA"/>
    <w:rsid w:val="00A33636"/>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564E"/>
    <w:rsid w:val="00A8712A"/>
    <w:rsid w:val="00A95F75"/>
    <w:rsid w:val="00A968DA"/>
    <w:rsid w:val="00A96B83"/>
    <w:rsid w:val="00AA355B"/>
    <w:rsid w:val="00AA42E5"/>
    <w:rsid w:val="00AA7AE9"/>
    <w:rsid w:val="00AB24FA"/>
    <w:rsid w:val="00AB5161"/>
    <w:rsid w:val="00AD52CB"/>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1B57"/>
    <w:rsid w:val="00B6234E"/>
    <w:rsid w:val="00B74D4E"/>
    <w:rsid w:val="00B80219"/>
    <w:rsid w:val="00B86304"/>
    <w:rsid w:val="00B87184"/>
    <w:rsid w:val="00B91453"/>
    <w:rsid w:val="00BA19A5"/>
    <w:rsid w:val="00BB2907"/>
    <w:rsid w:val="00BB6902"/>
    <w:rsid w:val="00BC078B"/>
    <w:rsid w:val="00BC3A7D"/>
    <w:rsid w:val="00BC67F6"/>
    <w:rsid w:val="00BD2004"/>
    <w:rsid w:val="00BD4B12"/>
    <w:rsid w:val="00BD700D"/>
    <w:rsid w:val="00BE2F92"/>
    <w:rsid w:val="00BE44AC"/>
    <w:rsid w:val="00BF0D5F"/>
    <w:rsid w:val="00BF30FC"/>
    <w:rsid w:val="00BF3DEF"/>
    <w:rsid w:val="00BF59B3"/>
    <w:rsid w:val="00BF6F95"/>
    <w:rsid w:val="00C10BCF"/>
    <w:rsid w:val="00C11EB4"/>
    <w:rsid w:val="00C12746"/>
    <w:rsid w:val="00C23C11"/>
    <w:rsid w:val="00C2441E"/>
    <w:rsid w:val="00C25827"/>
    <w:rsid w:val="00C30761"/>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B17"/>
    <w:rsid w:val="00CB6AA0"/>
    <w:rsid w:val="00CC4443"/>
    <w:rsid w:val="00CC5CAF"/>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405B"/>
    <w:rsid w:val="00D75247"/>
    <w:rsid w:val="00D75624"/>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DF72A8"/>
    <w:rsid w:val="00E061EC"/>
    <w:rsid w:val="00E0696B"/>
    <w:rsid w:val="00E06A4D"/>
    <w:rsid w:val="00E10E81"/>
    <w:rsid w:val="00E13E51"/>
    <w:rsid w:val="00E21F56"/>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4136"/>
    <w:rsid w:val="00ED5108"/>
    <w:rsid w:val="00ED6AE8"/>
    <w:rsid w:val="00EE291B"/>
    <w:rsid w:val="00EE2CB2"/>
    <w:rsid w:val="00EF485B"/>
    <w:rsid w:val="00EF5A6B"/>
    <w:rsid w:val="00EF6FF4"/>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A6DD0"/>
    <w:rsid w:val="00FB13CB"/>
    <w:rsid w:val="00FC28DF"/>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styleId="NormalWeb">
    <w:name w:val="Normal (Web)"/>
    <w:basedOn w:val="Normal"/>
    <w:uiPriority w:val="99"/>
    <w:unhideWhenUsed/>
    <w:rsid w:val="00E06A4D"/>
    <w:pPr>
      <w:suppressAutoHyphens w:val="0"/>
      <w:autoSpaceDN/>
      <w:spacing w:before="100" w:beforeAutospacing="1" w:after="100" w:afterAutospacing="1" w:line="240" w:lineRule="auto"/>
    </w:pPr>
    <w:rPr>
      <w:rFonts w:ascii="Times New Roman" w:eastAsia="Arial" w:hAnsi="Times New Roman" w:cs="Arial"/>
      <w:color w:val="auto"/>
      <w:lang w:eastAsia="zh-CN"/>
    </w:rPr>
  </w:style>
  <w:style w:type="character" w:styleId="Strong">
    <w:name w:val="Strong"/>
    <w:basedOn w:val="DefaultParagraphFont"/>
    <w:uiPriority w:val="22"/>
    <w:qFormat/>
    <w:rsid w:val="003B372D"/>
    <w:rPr>
      <w:b/>
      <w:bCs/>
    </w:rPr>
  </w:style>
  <w:style w:type="character" w:customStyle="1" w:styleId="pull-single">
    <w:name w:val="pull-single"/>
    <w:basedOn w:val="DefaultParagraphFont"/>
    <w:rsid w:val="00FB13CB"/>
  </w:style>
  <w:style w:type="character" w:customStyle="1" w:styleId="ms-1">
    <w:name w:val="ms-1"/>
    <w:basedOn w:val="DefaultParagraphFont"/>
    <w:rsid w:val="00AA7AE9"/>
  </w:style>
  <w:style w:type="character" w:customStyle="1" w:styleId="max-w-15ch">
    <w:name w:val="max-w-[15ch]"/>
    <w:basedOn w:val="DefaultParagraphFont"/>
    <w:rsid w:val="00AA7AE9"/>
  </w:style>
  <w:style w:type="character" w:styleId="Emphasis">
    <w:name w:val="Emphasis"/>
    <w:basedOn w:val="DefaultParagraphFont"/>
    <w:uiPriority w:val="20"/>
    <w:qFormat/>
    <w:rsid w:val="003D248F"/>
    <w:rPr>
      <w:i/>
      <w:iCs/>
    </w:rPr>
  </w:style>
  <w:style w:type="character" w:customStyle="1" w:styleId="-me-1">
    <w:name w:val="-me-1"/>
    <w:basedOn w:val="DefaultParagraphFont"/>
    <w:rsid w:val="00944C60"/>
  </w:style>
  <w:style w:type="paragraph" w:customStyle="1" w:styleId="Default">
    <w:name w:val="Default"/>
    <w:rsid w:val="00996CFE"/>
    <w:pPr>
      <w:autoSpaceDE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epository.canterbury.ac.uk/download/520a74ac8f0096e583f05ca0c46c7b1e3c919d35b4ce42660a864f7d9666e3e4/938729/Anna_Roberts_MRP_2017.pdf?utm_source=chatgpt.com" TargetMode="External"/><Relationship Id="rId13" Type="http://schemas.openxmlformats.org/officeDocument/2006/relationships/hyperlink" Target="https://educationendowmentfoundation.org.uk/education-evidence/teaching-learning-toolkit/small-group-tuition?utm_source=chatgpt.com" TargetMode="External"/><Relationship Id="rId18" Type="http://schemas.openxmlformats.org/officeDocument/2006/relationships/hyperlink" Target="https://www.centreforsocialjustice.org.uk/wp-content/uploads/2025/10/CSJ-Absence_Tracker.pdf?utm_source=chatgpt.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forestresearch.gov.uk/research/forest-schools-impact-on-young-children-in-england-and-wales/?utm_source=chatgpt.com" TargetMode="External"/><Relationship Id="rId12" Type="http://schemas.openxmlformats.org/officeDocument/2006/relationships/hyperlink" Target="https://d2tic4wvo1iusb.cloudfront.net/eef-guidance-reports/early-maths/EEF_Maths_EY_KS1_Guidance_Report.pdf?v=1635355217" TargetMode="External"/><Relationship Id="rId17" Type="http://schemas.openxmlformats.org/officeDocument/2006/relationships/hyperlink" Target="https://www.centreforyounglives.org.uk/news-centre/call-for-new-era-of-school-inclusion-and-belonging-as-attendance-crisis-report-warns-children-in-the-north-and-children-with-sen-are-more-likely-to-be-persistently-missing-school?utm_source=chatgpt.com" TargetMode="External"/><Relationship Id="rId2" Type="http://schemas.openxmlformats.org/officeDocument/2006/relationships/styles" Target="styles.xml"/><Relationship Id="rId16" Type="http://schemas.openxmlformats.org/officeDocument/2006/relationships/hyperlink" Target="https://explore-education-statistics.service.gov.uk/find-statistics/pupil-attendance-in-schools/2025-week-29?utm_source=chatgpt.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teaching-learning-toolkit/reading-comprehension-strategies" TargetMode="External"/><Relationship Id="rId5" Type="http://schemas.openxmlformats.org/officeDocument/2006/relationships/footnotes" Target="footnotes.xml"/><Relationship Id="rId15" Type="http://schemas.openxmlformats.org/officeDocument/2006/relationships/hyperlink" Target="https://www.autism.org.uk/advice-and-guidance/professional-practice/lego-pilot?utm_source=chatgpt.com" TargetMode="External"/><Relationship Id="rId23" Type="http://schemas.openxmlformats.org/officeDocument/2006/relationships/theme" Target="theme/theme1.xml"/><Relationship Id="rId10" Type="http://schemas.openxmlformats.org/officeDocument/2006/relationships/hyperlink" Target="https://educationendowmentfoundation.org.uk/education-evidence/teaching-learning-toolkit/phonics"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research.childrenandnature.org/research/forest-school-improves-mental-health-and-well-being-according-to-adolescent-girls-with-mental-health-risk-factors/?utm_source=chatgpt.com" TargetMode="External"/><Relationship Id="rId14" Type="http://schemas.openxmlformats.org/officeDocument/2006/relationships/hyperlink" Target="https://www.autism.org.uk/advice-and-guidance/professional-practice/lego-pilot?utm_source=chatgp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2834</Words>
  <Characters>16154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Lisa Winship</cp:lastModifiedBy>
  <cp:revision>4</cp:revision>
  <cp:lastPrinted>2014-09-18T05:26:00Z</cp:lastPrinted>
  <dcterms:created xsi:type="dcterms:W3CDTF">2026-01-13T17:19:00Z</dcterms:created>
  <dcterms:modified xsi:type="dcterms:W3CDTF">2026-01-13T17:25:00Z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